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A64FF" w14:textId="196F6FD7" w:rsidR="00FA136B" w:rsidRDefault="00FA136B" w:rsidP="00B65317">
      <w:pPr>
        <w:rPr>
          <w:rFonts w:ascii="Addington CF Thin" w:hAnsi="Addington CF Thin"/>
          <w:b/>
          <w:bCs/>
          <w:color w:val="auto"/>
          <w:sz w:val="32"/>
          <w:szCs w:val="32"/>
        </w:rPr>
      </w:pPr>
      <w:r w:rsidRPr="00FA136B">
        <w:rPr>
          <w:rFonts w:ascii="Addington CF Thin" w:hAnsi="Addington CF Thin"/>
          <w:b/>
          <w:bCs/>
          <w:color w:val="auto"/>
          <w:sz w:val="32"/>
          <w:szCs w:val="32"/>
        </w:rPr>
        <w:t>UK Endorsement Board</w:t>
      </w:r>
    </w:p>
    <w:p w14:paraId="63223CEE" w14:textId="0F3400B9" w:rsidR="003D6A00" w:rsidRPr="00FA136B" w:rsidRDefault="003D6A00" w:rsidP="00B65317">
      <w:pPr>
        <w:rPr>
          <w:rFonts w:ascii="Addington CF Thin" w:hAnsi="Addington CF Thin"/>
          <w:b/>
          <w:bCs/>
          <w:color w:val="auto"/>
          <w:sz w:val="32"/>
          <w:szCs w:val="32"/>
        </w:rPr>
      </w:pPr>
      <w:r>
        <w:rPr>
          <w:rFonts w:ascii="Addington CF Thin" w:hAnsi="Addington CF Thin"/>
          <w:b/>
          <w:bCs/>
          <w:color w:val="auto"/>
          <w:sz w:val="32"/>
          <w:szCs w:val="32"/>
        </w:rPr>
        <w:t xml:space="preserve">Outreach on IASB’s Third Agenda Consultation </w:t>
      </w:r>
    </w:p>
    <w:p w14:paraId="491E450E" w14:textId="77777777" w:rsidR="00FA136B" w:rsidRPr="00B65317" w:rsidRDefault="00FA136B" w:rsidP="00B65317">
      <w:pPr>
        <w:rPr>
          <w:b/>
          <w:bCs/>
          <w:sz w:val="28"/>
          <w:szCs w:val="28"/>
          <w:lang w:val="en-GB"/>
        </w:rPr>
      </w:pPr>
    </w:p>
    <w:p w14:paraId="13EABF74" w14:textId="3D361EAC" w:rsidR="00BA2BE8" w:rsidRPr="006F7364" w:rsidRDefault="00EC2CEC" w:rsidP="005925A7">
      <w:pPr>
        <w:pStyle w:val="ListParagraph"/>
        <w:numPr>
          <w:ilvl w:val="0"/>
          <w:numId w:val="20"/>
        </w:numPr>
        <w:rPr>
          <w:rFonts w:ascii="Addington CF Thin" w:hAnsi="Addington CF Thin" w:cs="Arial"/>
          <w:b/>
          <w:bCs/>
          <w:sz w:val="24"/>
          <w:szCs w:val="24"/>
          <w:lang w:val="en-GB"/>
        </w:rPr>
      </w:pPr>
      <w:r w:rsidRPr="006F7364">
        <w:rPr>
          <w:rFonts w:ascii="Addington CF Thin" w:hAnsi="Addington CF Thin" w:cs="Arial"/>
          <w:b/>
          <w:bCs/>
          <w:sz w:val="24"/>
          <w:szCs w:val="24"/>
          <w:lang w:val="en-GB"/>
        </w:rPr>
        <w:t>Introduction</w:t>
      </w:r>
    </w:p>
    <w:p w14:paraId="50AA8D2E" w14:textId="77777777" w:rsidR="00923C02" w:rsidRDefault="00923C02" w:rsidP="00D634F8">
      <w:pPr>
        <w:rPr>
          <w:rFonts w:cs="Arial"/>
          <w:sz w:val="20"/>
          <w:lang w:val="en-GB"/>
        </w:rPr>
      </w:pPr>
    </w:p>
    <w:p w14:paraId="2963CA0E" w14:textId="1C839A14" w:rsidR="00176659" w:rsidRPr="005C3668" w:rsidRDefault="00FA136B" w:rsidP="005C3668">
      <w:pPr>
        <w:rPr>
          <w:rFonts w:cs="Arial"/>
          <w:szCs w:val="22"/>
          <w:lang w:val="en-GB"/>
        </w:rPr>
      </w:pPr>
      <w:r w:rsidRPr="00341D14">
        <w:rPr>
          <w:rFonts w:cs="Arial"/>
          <w:szCs w:val="22"/>
          <w:lang w:val="en-GB"/>
        </w:rPr>
        <w:t>Th</w:t>
      </w:r>
      <w:r w:rsidR="004053B2" w:rsidRPr="00341D14">
        <w:rPr>
          <w:rFonts w:cs="Arial"/>
          <w:szCs w:val="22"/>
          <w:lang w:val="en-GB"/>
        </w:rPr>
        <w:t>is pre-reading provides roundtable participants with</w:t>
      </w:r>
      <w:r w:rsidR="005C3668">
        <w:rPr>
          <w:rFonts w:cs="Arial"/>
          <w:szCs w:val="22"/>
          <w:lang w:val="en-GB"/>
        </w:rPr>
        <w:t xml:space="preserve"> an</w:t>
      </w:r>
      <w:r w:rsidR="004053B2" w:rsidRPr="005C3668">
        <w:rPr>
          <w:rFonts w:cs="Arial"/>
          <w:szCs w:val="22"/>
          <w:lang w:val="en-GB"/>
        </w:rPr>
        <w:t xml:space="preserve"> overview of </w:t>
      </w:r>
      <w:hyperlink r:id="rId11" w:history="1">
        <w:r w:rsidR="00176659" w:rsidRPr="00381E87">
          <w:rPr>
            <w:rStyle w:val="Hyperlink"/>
            <w:rFonts w:cs="Arial"/>
            <w:szCs w:val="22"/>
            <w:lang w:val="en-GB"/>
          </w:rPr>
          <w:t>IASB’s Third Agenda Consultation Request for Information</w:t>
        </w:r>
        <w:r w:rsidR="00E650FE" w:rsidRPr="00381E87">
          <w:rPr>
            <w:rStyle w:val="Hyperlink"/>
            <w:rFonts w:cs="Arial"/>
            <w:szCs w:val="22"/>
            <w:lang w:val="en-GB"/>
          </w:rPr>
          <w:t>.</w:t>
        </w:r>
      </w:hyperlink>
    </w:p>
    <w:p w14:paraId="121E8A46" w14:textId="77777777" w:rsidR="00D87E8B" w:rsidRPr="00341D14" w:rsidRDefault="00D87E8B" w:rsidP="00D87E8B">
      <w:pPr>
        <w:pStyle w:val="ListParagraph"/>
        <w:ind w:left="770"/>
        <w:rPr>
          <w:rFonts w:cs="Arial"/>
          <w:szCs w:val="22"/>
          <w:lang w:val="en-GB"/>
        </w:rPr>
      </w:pPr>
    </w:p>
    <w:p w14:paraId="48FEC255" w14:textId="672AE8C5" w:rsidR="00AB38DD" w:rsidRPr="006F7364" w:rsidRDefault="00AB38DD" w:rsidP="005925A7">
      <w:pPr>
        <w:pStyle w:val="ListParagraph"/>
        <w:numPr>
          <w:ilvl w:val="0"/>
          <w:numId w:val="20"/>
        </w:numPr>
        <w:rPr>
          <w:rFonts w:ascii="Addington CF Thin" w:hAnsi="Addington CF Thin" w:cs="Arial"/>
          <w:b/>
          <w:bCs/>
          <w:sz w:val="24"/>
          <w:szCs w:val="24"/>
          <w:lang w:val="en-GB"/>
        </w:rPr>
      </w:pPr>
      <w:r w:rsidRPr="006F7364">
        <w:rPr>
          <w:rFonts w:ascii="Addington CF Thin" w:hAnsi="Addington CF Thin" w:cs="Arial"/>
          <w:b/>
          <w:bCs/>
          <w:sz w:val="24"/>
          <w:szCs w:val="24"/>
          <w:lang w:val="en-GB"/>
        </w:rPr>
        <w:t>Overview of IASB’s Third Agenda Consultation Request for Information</w:t>
      </w:r>
    </w:p>
    <w:p w14:paraId="4C3FD45B" w14:textId="47C27ECD" w:rsidR="00AB38DD" w:rsidRPr="00685BAB" w:rsidRDefault="00AB38DD" w:rsidP="00AB38DD">
      <w:pPr>
        <w:rPr>
          <w:rFonts w:asciiTheme="majorHAnsi" w:hAnsiTheme="majorHAnsi" w:cs="Arial"/>
          <w:b/>
          <w:bCs/>
          <w:sz w:val="24"/>
          <w:szCs w:val="24"/>
          <w:lang w:val="en-GB"/>
        </w:rPr>
      </w:pPr>
    </w:p>
    <w:p w14:paraId="0B874CDA" w14:textId="680986A7" w:rsidR="00AB38DD" w:rsidRDefault="001D7822" w:rsidP="005925A7">
      <w:pPr>
        <w:pStyle w:val="ListParagraph"/>
        <w:numPr>
          <w:ilvl w:val="0"/>
          <w:numId w:val="21"/>
        </w:numPr>
        <w:rPr>
          <w:rFonts w:asciiTheme="minorHAnsi" w:hAnsiTheme="minorHAnsi" w:cs="Arial"/>
          <w:szCs w:val="22"/>
          <w:lang w:val="en-GB"/>
        </w:rPr>
      </w:pPr>
      <w:r>
        <w:rPr>
          <w:rFonts w:asciiTheme="minorHAnsi" w:hAnsiTheme="minorHAnsi" w:cs="Arial"/>
          <w:szCs w:val="22"/>
          <w:lang w:val="en-GB"/>
        </w:rPr>
        <w:t>IASB published its Request for Information for its Third Agenda Consultation in March 2021.</w:t>
      </w:r>
      <w:r w:rsidR="000A4844">
        <w:rPr>
          <w:rFonts w:asciiTheme="minorHAnsi" w:hAnsiTheme="minorHAnsi" w:cs="Arial"/>
          <w:szCs w:val="22"/>
          <w:lang w:val="en-GB"/>
        </w:rPr>
        <w:t xml:space="preserve"> Responses are due by 27 September 2021.</w:t>
      </w:r>
    </w:p>
    <w:p w14:paraId="18D7F37B" w14:textId="48C13234" w:rsidR="003C4CFF" w:rsidRDefault="003C4CFF" w:rsidP="003C4CFF">
      <w:pPr>
        <w:ind w:left="360"/>
        <w:rPr>
          <w:rFonts w:asciiTheme="minorHAnsi" w:hAnsiTheme="minorHAnsi" w:cs="Arial"/>
          <w:szCs w:val="22"/>
          <w:lang w:val="en-GB"/>
        </w:rPr>
      </w:pPr>
    </w:p>
    <w:p w14:paraId="36AFE1EA" w14:textId="592A0D07" w:rsidR="003C4CFF" w:rsidRDefault="003C4CFF" w:rsidP="005925A7">
      <w:pPr>
        <w:pStyle w:val="ListParagraph"/>
        <w:numPr>
          <w:ilvl w:val="0"/>
          <w:numId w:val="21"/>
        </w:numPr>
        <w:rPr>
          <w:rFonts w:asciiTheme="minorHAnsi" w:hAnsiTheme="minorHAnsi" w:cs="Arial"/>
          <w:szCs w:val="22"/>
          <w:lang w:val="en-GB"/>
        </w:rPr>
      </w:pPr>
      <w:r>
        <w:rPr>
          <w:rFonts w:asciiTheme="minorHAnsi" w:hAnsiTheme="minorHAnsi" w:cs="Arial"/>
          <w:szCs w:val="22"/>
          <w:lang w:val="en-GB"/>
        </w:rPr>
        <w:t xml:space="preserve">IASB’s objectives for its Third Agenda Consultation are to seek stakeholder </w:t>
      </w:r>
      <w:r w:rsidR="00CA2B92">
        <w:rPr>
          <w:rFonts w:asciiTheme="minorHAnsi" w:hAnsiTheme="minorHAnsi" w:cs="Arial"/>
          <w:szCs w:val="22"/>
          <w:lang w:val="en-GB"/>
        </w:rPr>
        <w:t>views</w:t>
      </w:r>
      <w:r>
        <w:rPr>
          <w:rFonts w:asciiTheme="minorHAnsi" w:hAnsiTheme="minorHAnsi" w:cs="Arial"/>
          <w:szCs w:val="22"/>
          <w:lang w:val="en-GB"/>
        </w:rPr>
        <w:t xml:space="preserve"> on:</w:t>
      </w:r>
    </w:p>
    <w:p w14:paraId="37F3F62C" w14:textId="77777777" w:rsidR="003C4CFF" w:rsidRPr="003C4CFF" w:rsidRDefault="003C4CFF" w:rsidP="003C4CFF">
      <w:pPr>
        <w:pStyle w:val="ListParagraph"/>
        <w:rPr>
          <w:rFonts w:asciiTheme="minorHAnsi" w:hAnsiTheme="minorHAnsi" w:cs="Arial"/>
          <w:szCs w:val="22"/>
          <w:lang w:val="en-GB"/>
        </w:rPr>
      </w:pPr>
    </w:p>
    <w:p w14:paraId="497C130F" w14:textId="57F71131" w:rsidR="003C4CFF" w:rsidRPr="00CE3FA9" w:rsidRDefault="00CA2B92" w:rsidP="005925A7">
      <w:pPr>
        <w:pStyle w:val="ListParagraph"/>
        <w:numPr>
          <w:ilvl w:val="0"/>
          <w:numId w:val="22"/>
        </w:numPr>
        <w:rPr>
          <w:rFonts w:asciiTheme="minorHAnsi" w:hAnsiTheme="minorHAnsi" w:cs="Arial"/>
          <w:szCs w:val="22"/>
          <w:lang w:val="en-GB"/>
        </w:rPr>
      </w:pPr>
      <w:r w:rsidRPr="00CE3FA9">
        <w:rPr>
          <w:rFonts w:asciiTheme="minorHAnsi" w:hAnsiTheme="minorHAnsi" w:cs="Arial"/>
          <w:szCs w:val="22"/>
          <w:lang w:val="en-GB"/>
        </w:rPr>
        <w:t xml:space="preserve">The allocation of resource across IASB’s different </w:t>
      </w:r>
      <w:r w:rsidR="00CC18F8" w:rsidRPr="00CE3FA9">
        <w:rPr>
          <w:rFonts w:asciiTheme="minorHAnsi" w:hAnsiTheme="minorHAnsi" w:cs="Arial"/>
          <w:szCs w:val="22"/>
          <w:lang w:val="en-GB"/>
        </w:rPr>
        <w:t>activities</w:t>
      </w:r>
      <w:r w:rsidR="00A32FE5">
        <w:rPr>
          <w:rFonts w:asciiTheme="minorHAnsi" w:hAnsiTheme="minorHAnsi" w:cs="Arial"/>
          <w:szCs w:val="22"/>
          <w:lang w:val="en-GB"/>
        </w:rPr>
        <w:t xml:space="preserve"> (see section 3 below)</w:t>
      </w:r>
    </w:p>
    <w:p w14:paraId="4B344502" w14:textId="77777777" w:rsidR="00627E15" w:rsidRDefault="00627E15" w:rsidP="00627E15">
      <w:pPr>
        <w:pStyle w:val="ListParagraph"/>
        <w:ind w:left="1440"/>
        <w:rPr>
          <w:rFonts w:asciiTheme="minorHAnsi" w:hAnsiTheme="minorHAnsi" w:cs="Arial"/>
          <w:szCs w:val="22"/>
          <w:lang w:val="en-GB"/>
        </w:rPr>
      </w:pPr>
    </w:p>
    <w:p w14:paraId="14982CBE" w14:textId="056F97EC" w:rsidR="00CC18F8" w:rsidRPr="00CE3FA9" w:rsidRDefault="00CC18F8" w:rsidP="005925A7">
      <w:pPr>
        <w:pStyle w:val="ListParagraph"/>
        <w:numPr>
          <w:ilvl w:val="0"/>
          <w:numId w:val="22"/>
        </w:numPr>
        <w:rPr>
          <w:rFonts w:asciiTheme="minorHAnsi" w:hAnsiTheme="minorHAnsi" w:cs="Arial"/>
          <w:szCs w:val="22"/>
          <w:lang w:val="en-GB"/>
        </w:rPr>
      </w:pPr>
      <w:r w:rsidRPr="00CE3FA9">
        <w:rPr>
          <w:rFonts w:asciiTheme="minorHAnsi" w:hAnsiTheme="minorHAnsi" w:cs="Arial"/>
          <w:szCs w:val="22"/>
          <w:lang w:val="en-GB"/>
        </w:rPr>
        <w:t>The criteria used by IASB to decide whether a project should be added to its work plan</w:t>
      </w:r>
      <w:r w:rsidR="00A32FE5">
        <w:rPr>
          <w:rFonts w:asciiTheme="minorHAnsi" w:hAnsiTheme="minorHAnsi" w:cs="Arial"/>
          <w:szCs w:val="22"/>
          <w:lang w:val="en-GB"/>
        </w:rPr>
        <w:t xml:space="preserve"> (see section 4 below)</w:t>
      </w:r>
    </w:p>
    <w:p w14:paraId="0B46691A" w14:textId="77777777" w:rsidR="00627E15" w:rsidRPr="00627E15" w:rsidRDefault="00627E15" w:rsidP="00627E15">
      <w:pPr>
        <w:pStyle w:val="ListParagraph"/>
        <w:rPr>
          <w:rFonts w:asciiTheme="minorHAnsi" w:hAnsiTheme="minorHAnsi" w:cs="Arial"/>
          <w:szCs w:val="22"/>
          <w:lang w:val="en-GB"/>
        </w:rPr>
      </w:pPr>
    </w:p>
    <w:p w14:paraId="4B8D574F" w14:textId="0B1708C7" w:rsidR="00CC18F8" w:rsidRPr="00B8758E" w:rsidRDefault="00E0031D" w:rsidP="005925A7">
      <w:pPr>
        <w:pStyle w:val="ListParagraph"/>
        <w:numPr>
          <w:ilvl w:val="0"/>
          <w:numId w:val="22"/>
        </w:numPr>
        <w:rPr>
          <w:rFonts w:asciiTheme="minorHAnsi" w:hAnsiTheme="minorHAnsi" w:cs="Arial"/>
          <w:szCs w:val="22"/>
          <w:lang w:val="en-GB"/>
        </w:rPr>
      </w:pPr>
      <w:r w:rsidRPr="00B8758E">
        <w:rPr>
          <w:rFonts w:asciiTheme="minorHAnsi" w:hAnsiTheme="minorHAnsi" w:cs="Arial"/>
          <w:szCs w:val="22"/>
          <w:lang w:val="en-GB"/>
        </w:rPr>
        <w:t>Which projects, from a list of twenty</w:t>
      </w:r>
      <w:r w:rsidR="0018285D" w:rsidRPr="00B8758E">
        <w:rPr>
          <w:rFonts w:asciiTheme="minorHAnsi" w:hAnsiTheme="minorHAnsi" w:cs="Arial"/>
          <w:szCs w:val="22"/>
          <w:lang w:val="en-GB"/>
        </w:rPr>
        <w:t>-</w:t>
      </w:r>
      <w:r w:rsidRPr="00B8758E">
        <w:rPr>
          <w:rFonts w:asciiTheme="minorHAnsi" w:hAnsiTheme="minorHAnsi" w:cs="Arial"/>
          <w:szCs w:val="22"/>
          <w:lang w:val="en-GB"/>
        </w:rPr>
        <w:t xml:space="preserve">two identified by IASB in initial outreach, should be prioritised for inclusion in IASB’s 2022 – 2026 workplan </w:t>
      </w:r>
      <w:r w:rsidR="00A32FE5">
        <w:rPr>
          <w:rFonts w:asciiTheme="minorHAnsi" w:hAnsiTheme="minorHAnsi" w:cs="Arial"/>
          <w:szCs w:val="22"/>
          <w:lang w:val="en-GB"/>
        </w:rPr>
        <w:t>(see section 5 below)</w:t>
      </w:r>
    </w:p>
    <w:p w14:paraId="058E6610" w14:textId="77777777" w:rsidR="00627E15" w:rsidRPr="00627E15" w:rsidRDefault="00627E15" w:rsidP="00627E15">
      <w:pPr>
        <w:pStyle w:val="ListParagraph"/>
        <w:rPr>
          <w:rFonts w:asciiTheme="minorHAnsi" w:hAnsiTheme="minorHAnsi" w:cs="Arial"/>
          <w:szCs w:val="22"/>
          <w:lang w:val="en-GB"/>
        </w:rPr>
      </w:pPr>
    </w:p>
    <w:p w14:paraId="265B4F88" w14:textId="0BC7DEF9" w:rsidR="000A5CA4" w:rsidRPr="006F7364" w:rsidRDefault="00D57D35" w:rsidP="005925A7">
      <w:pPr>
        <w:pStyle w:val="ListParagraph"/>
        <w:numPr>
          <w:ilvl w:val="0"/>
          <w:numId w:val="18"/>
        </w:numPr>
        <w:rPr>
          <w:rFonts w:ascii="Addington CF Thin" w:hAnsi="Addington CF Thin"/>
          <w:b/>
          <w:bCs/>
          <w:color w:val="auto"/>
          <w:sz w:val="24"/>
          <w:szCs w:val="24"/>
        </w:rPr>
      </w:pPr>
      <w:r w:rsidRPr="006F7364">
        <w:rPr>
          <w:rFonts w:ascii="Addington CF Thin" w:hAnsi="Addington CF Thin"/>
          <w:b/>
          <w:bCs/>
          <w:color w:val="auto"/>
          <w:sz w:val="24"/>
          <w:szCs w:val="24"/>
        </w:rPr>
        <w:t>Allocation of resource across IASB’s different activities</w:t>
      </w:r>
    </w:p>
    <w:p w14:paraId="78531CEC" w14:textId="27898944" w:rsidR="00087C8B" w:rsidRDefault="00087C8B" w:rsidP="00D57D35">
      <w:pPr>
        <w:rPr>
          <w:rFonts w:ascii="Addington CF Thin" w:hAnsi="Addington CF Thin"/>
          <w:b/>
          <w:bCs/>
          <w:color w:val="auto"/>
          <w:sz w:val="24"/>
          <w:szCs w:val="24"/>
        </w:rPr>
      </w:pPr>
    </w:p>
    <w:p w14:paraId="413E75F3" w14:textId="6BC632DE" w:rsidR="00AB38DD" w:rsidRPr="00AB38DD" w:rsidRDefault="00E344BF" w:rsidP="008D4416">
      <w:pPr>
        <w:rPr>
          <w:rFonts w:cs="Arial"/>
          <w:sz w:val="20"/>
          <w:lang w:val="en-GB"/>
        </w:rPr>
      </w:pPr>
      <w:r>
        <w:rPr>
          <w:rFonts w:asciiTheme="minorHAnsi" w:hAnsiTheme="minorHAnsi"/>
          <w:color w:val="auto"/>
          <w:szCs w:val="22"/>
        </w:rPr>
        <w:t>The table belo</w:t>
      </w:r>
      <w:r w:rsidR="000C68B0">
        <w:rPr>
          <w:rFonts w:asciiTheme="minorHAnsi" w:hAnsiTheme="minorHAnsi"/>
          <w:color w:val="auto"/>
          <w:szCs w:val="22"/>
        </w:rPr>
        <w:t xml:space="preserve">w presents a summary of IASB’s </w:t>
      </w:r>
      <w:r w:rsidR="00E965A7">
        <w:rPr>
          <w:rFonts w:asciiTheme="minorHAnsi" w:hAnsiTheme="minorHAnsi"/>
          <w:color w:val="auto"/>
          <w:szCs w:val="22"/>
        </w:rPr>
        <w:t>main activities and the proportion of resource allocated to that activity</w:t>
      </w:r>
      <w:r w:rsidR="00087C8B">
        <w:rPr>
          <w:rFonts w:asciiTheme="minorHAnsi" w:hAnsiTheme="minorHAnsi"/>
          <w:color w:val="auto"/>
          <w:szCs w:val="22"/>
        </w:rPr>
        <w:t>,</w:t>
      </w:r>
      <w:r w:rsidR="00E965A7">
        <w:rPr>
          <w:rFonts w:asciiTheme="minorHAnsi" w:hAnsiTheme="minorHAnsi"/>
          <w:color w:val="auto"/>
          <w:szCs w:val="22"/>
        </w:rPr>
        <w:t xml:space="preserve"> together with </w:t>
      </w:r>
      <w:r w:rsidR="00087C8B">
        <w:rPr>
          <w:rFonts w:asciiTheme="minorHAnsi" w:hAnsiTheme="minorHAnsi"/>
          <w:color w:val="auto"/>
          <w:szCs w:val="22"/>
        </w:rPr>
        <w:t>examples of what more the IASB could do if</w:t>
      </w:r>
      <w:r w:rsidR="008D4416">
        <w:rPr>
          <w:rFonts w:asciiTheme="minorHAnsi" w:hAnsiTheme="minorHAnsi"/>
          <w:color w:val="auto"/>
          <w:szCs w:val="22"/>
        </w:rPr>
        <w:t xml:space="preserve"> more resource were devoted to that area</w:t>
      </w:r>
      <w:r w:rsidR="00B24849">
        <w:rPr>
          <w:rFonts w:asciiTheme="minorHAnsi" w:hAnsiTheme="minorHAnsi"/>
          <w:color w:val="auto"/>
          <w:szCs w:val="22"/>
        </w:rPr>
        <w:t>.</w:t>
      </w:r>
    </w:p>
    <w:p w14:paraId="6EF8858E" w14:textId="77777777" w:rsidR="000F090F" w:rsidRPr="000F090F" w:rsidRDefault="000F090F" w:rsidP="000F090F">
      <w:pPr>
        <w:pStyle w:val="ListParagraph"/>
        <w:rPr>
          <w:rFonts w:cs="Arial"/>
          <w:sz w:val="20"/>
          <w:lang w:val="en-GB"/>
        </w:rPr>
      </w:pPr>
    </w:p>
    <w:tbl>
      <w:tblPr>
        <w:tblStyle w:val="GridTable1Light"/>
        <w:tblW w:w="9823" w:type="dxa"/>
        <w:tblLook w:val="0420" w:firstRow="1" w:lastRow="0" w:firstColumn="0" w:lastColumn="0" w:noHBand="0" w:noVBand="1"/>
      </w:tblPr>
      <w:tblGrid>
        <w:gridCol w:w="2065"/>
        <w:gridCol w:w="1890"/>
        <w:gridCol w:w="5868"/>
      </w:tblGrid>
      <w:tr w:rsidR="000A5CA4" w:rsidRPr="00540F6B" w14:paraId="382A234C" w14:textId="77777777" w:rsidTr="00396860">
        <w:trPr>
          <w:cnfStyle w:val="100000000000" w:firstRow="1" w:lastRow="0" w:firstColumn="0" w:lastColumn="0" w:oddVBand="0" w:evenVBand="0" w:oddHBand="0" w:evenHBand="0" w:firstRowFirstColumn="0" w:firstRowLastColumn="0" w:lastRowFirstColumn="0" w:lastRowLastColumn="0"/>
          <w:trHeight w:val="881"/>
        </w:trPr>
        <w:tc>
          <w:tcPr>
            <w:tcW w:w="2065" w:type="dxa"/>
            <w:shd w:val="clear" w:color="auto" w:fill="54CFBF" w:themeFill="accent2"/>
            <w:hideMark/>
          </w:tcPr>
          <w:p w14:paraId="38545F70" w14:textId="77777777" w:rsidR="000A5CA4" w:rsidRPr="00540F6B" w:rsidRDefault="000A5CA4" w:rsidP="00396860">
            <w:pPr>
              <w:jc w:val="center"/>
              <w:rPr>
                <w:rFonts w:cs="Arial"/>
                <w:sz w:val="20"/>
              </w:rPr>
            </w:pPr>
            <w:r w:rsidRPr="00540F6B">
              <w:rPr>
                <w:rFonts w:cs="Arial"/>
                <w:sz w:val="20"/>
              </w:rPr>
              <w:t>Activity</w:t>
            </w:r>
          </w:p>
        </w:tc>
        <w:tc>
          <w:tcPr>
            <w:tcW w:w="1890" w:type="dxa"/>
            <w:shd w:val="clear" w:color="auto" w:fill="54CFBF" w:themeFill="accent2"/>
          </w:tcPr>
          <w:p w14:paraId="17DE120C" w14:textId="77777777" w:rsidR="000A5CA4" w:rsidRPr="00540F6B" w:rsidRDefault="000A5CA4" w:rsidP="00396860">
            <w:pPr>
              <w:jc w:val="center"/>
              <w:rPr>
                <w:rFonts w:cs="Arial"/>
                <w:sz w:val="20"/>
              </w:rPr>
            </w:pPr>
            <w:r w:rsidRPr="00540F6B">
              <w:rPr>
                <w:rFonts w:cs="Arial"/>
                <w:sz w:val="20"/>
              </w:rPr>
              <w:t xml:space="preserve">Percentage of time currently spent </w:t>
            </w:r>
          </w:p>
        </w:tc>
        <w:tc>
          <w:tcPr>
            <w:tcW w:w="5868" w:type="dxa"/>
            <w:shd w:val="clear" w:color="auto" w:fill="54CFBF" w:themeFill="accent2"/>
            <w:hideMark/>
          </w:tcPr>
          <w:p w14:paraId="3D671F57" w14:textId="77777777" w:rsidR="000A5CA4" w:rsidRPr="00540F6B" w:rsidRDefault="000A5CA4" w:rsidP="00396860">
            <w:pPr>
              <w:jc w:val="center"/>
              <w:rPr>
                <w:rFonts w:cs="Arial"/>
                <w:sz w:val="20"/>
              </w:rPr>
            </w:pPr>
            <w:r w:rsidRPr="00540F6B">
              <w:rPr>
                <w:rFonts w:cs="Arial"/>
                <w:sz w:val="20"/>
              </w:rPr>
              <w:t>Examples of what more the IASB could do</w:t>
            </w:r>
          </w:p>
        </w:tc>
      </w:tr>
      <w:tr w:rsidR="000A5CA4" w:rsidRPr="00540F6B" w14:paraId="11123A46" w14:textId="77777777" w:rsidTr="00396860">
        <w:trPr>
          <w:trHeight w:val="1079"/>
        </w:trPr>
        <w:tc>
          <w:tcPr>
            <w:tcW w:w="2065" w:type="dxa"/>
            <w:hideMark/>
          </w:tcPr>
          <w:p w14:paraId="4398FA85" w14:textId="77777777" w:rsidR="000A5CA4" w:rsidRPr="00540F6B" w:rsidRDefault="000A5CA4" w:rsidP="00396860">
            <w:pPr>
              <w:rPr>
                <w:rFonts w:cs="Arial"/>
                <w:sz w:val="20"/>
                <w:lang w:val="en-ZA"/>
              </w:rPr>
            </w:pPr>
            <w:r w:rsidRPr="00540F6B">
              <w:rPr>
                <w:rFonts w:cs="Arial"/>
                <w:sz w:val="20"/>
              </w:rPr>
              <w:t>New IFRS Standards and major amendments to IFRS Standards</w:t>
            </w:r>
          </w:p>
        </w:tc>
        <w:tc>
          <w:tcPr>
            <w:tcW w:w="1890" w:type="dxa"/>
          </w:tcPr>
          <w:p w14:paraId="5ECF86F9" w14:textId="77777777" w:rsidR="000A5CA4" w:rsidRPr="00540F6B" w:rsidRDefault="000A5CA4" w:rsidP="00396860">
            <w:pPr>
              <w:jc w:val="center"/>
              <w:rPr>
                <w:rFonts w:cs="Arial"/>
                <w:sz w:val="20"/>
              </w:rPr>
            </w:pPr>
            <w:r>
              <w:rPr>
                <w:rFonts w:cs="Arial"/>
                <w:sz w:val="20"/>
              </w:rPr>
              <w:t>40-45%</w:t>
            </w:r>
          </w:p>
        </w:tc>
        <w:tc>
          <w:tcPr>
            <w:tcW w:w="5868" w:type="dxa"/>
            <w:hideMark/>
          </w:tcPr>
          <w:p w14:paraId="5A79E34F" w14:textId="77777777" w:rsidR="000A5CA4" w:rsidRPr="00540F6B" w:rsidRDefault="000A5CA4" w:rsidP="005925A7">
            <w:pPr>
              <w:numPr>
                <w:ilvl w:val="0"/>
                <w:numId w:val="11"/>
              </w:numPr>
              <w:rPr>
                <w:rFonts w:cs="Arial"/>
                <w:sz w:val="20"/>
                <w:lang w:val="en-ZA"/>
              </w:rPr>
            </w:pPr>
            <w:r w:rsidRPr="00540F6B">
              <w:rPr>
                <w:rFonts w:cs="Arial"/>
                <w:sz w:val="20"/>
              </w:rPr>
              <w:t>New projects to address financial reporting issues</w:t>
            </w:r>
            <w:r>
              <w:rPr>
                <w:rFonts w:cs="Arial"/>
                <w:sz w:val="20"/>
              </w:rPr>
              <w:t>.</w:t>
            </w:r>
          </w:p>
        </w:tc>
      </w:tr>
      <w:tr w:rsidR="000A5CA4" w:rsidRPr="00540F6B" w14:paraId="7C57368D" w14:textId="77777777" w:rsidTr="00396860">
        <w:trPr>
          <w:trHeight w:val="1789"/>
        </w:trPr>
        <w:tc>
          <w:tcPr>
            <w:tcW w:w="2065" w:type="dxa"/>
            <w:hideMark/>
          </w:tcPr>
          <w:p w14:paraId="03524A7A" w14:textId="77777777" w:rsidR="000A5CA4" w:rsidRPr="00540F6B" w:rsidRDefault="000A5CA4" w:rsidP="00396860">
            <w:pPr>
              <w:rPr>
                <w:rFonts w:cs="Arial"/>
                <w:sz w:val="20"/>
                <w:lang w:val="en-ZA"/>
              </w:rPr>
            </w:pPr>
            <w:r w:rsidRPr="00540F6B">
              <w:rPr>
                <w:rFonts w:cs="Arial"/>
                <w:sz w:val="20"/>
              </w:rPr>
              <w:t>Maintenance and consistent application of IFRS Standards</w:t>
            </w:r>
          </w:p>
        </w:tc>
        <w:tc>
          <w:tcPr>
            <w:tcW w:w="1890" w:type="dxa"/>
          </w:tcPr>
          <w:p w14:paraId="06FFE2E5" w14:textId="77777777" w:rsidR="000A5CA4" w:rsidRPr="00540F6B" w:rsidRDefault="000A5CA4" w:rsidP="00396860">
            <w:pPr>
              <w:jc w:val="center"/>
              <w:rPr>
                <w:rFonts w:cs="Arial"/>
                <w:sz w:val="20"/>
              </w:rPr>
            </w:pPr>
            <w:r>
              <w:rPr>
                <w:rFonts w:cs="Arial"/>
                <w:sz w:val="20"/>
              </w:rPr>
              <w:t>15-20%</w:t>
            </w:r>
          </w:p>
        </w:tc>
        <w:tc>
          <w:tcPr>
            <w:tcW w:w="5868" w:type="dxa"/>
            <w:hideMark/>
          </w:tcPr>
          <w:p w14:paraId="21B023FE" w14:textId="77777777" w:rsidR="000A5CA4" w:rsidRPr="00540F6B" w:rsidRDefault="000A5CA4" w:rsidP="005925A7">
            <w:pPr>
              <w:numPr>
                <w:ilvl w:val="0"/>
                <w:numId w:val="12"/>
              </w:numPr>
              <w:rPr>
                <w:rFonts w:cs="Arial"/>
                <w:sz w:val="20"/>
                <w:lang w:val="en-ZA"/>
              </w:rPr>
            </w:pPr>
            <w:r w:rsidRPr="00540F6B">
              <w:rPr>
                <w:rFonts w:cs="Arial"/>
                <w:sz w:val="20"/>
              </w:rPr>
              <w:t>Work more with stakeholders to identify challenges in applying IFRS Standards</w:t>
            </w:r>
            <w:r>
              <w:rPr>
                <w:rFonts w:cs="Arial"/>
                <w:sz w:val="20"/>
              </w:rPr>
              <w:t>.</w:t>
            </w:r>
          </w:p>
          <w:p w14:paraId="7D61859A" w14:textId="77777777" w:rsidR="000A5CA4" w:rsidRPr="00540F6B" w:rsidRDefault="000A5CA4" w:rsidP="005925A7">
            <w:pPr>
              <w:numPr>
                <w:ilvl w:val="0"/>
                <w:numId w:val="12"/>
              </w:numPr>
              <w:rPr>
                <w:rFonts w:cs="Arial"/>
                <w:sz w:val="20"/>
                <w:lang w:val="en-ZA"/>
              </w:rPr>
            </w:pPr>
            <w:r w:rsidRPr="00540F6B">
              <w:rPr>
                <w:rFonts w:cs="Arial"/>
                <w:sz w:val="20"/>
              </w:rPr>
              <w:t>Address these application challenges through agenda decisions, narrow scope amendments and interpretations</w:t>
            </w:r>
            <w:r>
              <w:rPr>
                <w:rFonts w:cs="Arial"/>
                <w:sz w:val="20"/>
              </w:rPr>
              <w:t>.</w:t>
            </w:r>
          </w:p>
          <w:p w14:paraId="214F5AB3" w14:textId="77777777" w:rsidR="000A5CA4" w:rsidRPr="00540F6B" w:rsidRDefault="000A5CA4" w:rsidP="005925A7">
            <w:pPr>
              <w:numPr>
                <w:ilvl w:val="0"/>
                <w:numId w:val="12"/>
              </w:numPr>
              <w:rPr>
                <w:rFonts w:cs="Arial"/>
                <w:sz w:val="20"/>
                <w:lang w:val="en-ZA"/>
              </w:rPr>
            </w:pPr>
            <w:r w:rsidRPr="00540F6B">
              <w:rPr>
                <w:rFonts w:cs="Arial"/>
                <w:sz w:val="20"/>
              </w:rPr>
              <w:t>Support high-quality and consistent application by providing more educational material</w:t>
            </w:r>
            <w:r>
              <w:rPr>
                <w:rFonts w:cs="Arial"/>
                <w:sz w:val="20"/>
              </w:rPr>
              <w:t>.</w:t>
            </w:r>
          </w:p>
        </w:tc>
      </w:tr>
      <w:tr w:rsidR="000A5CA4" w:rsidRPr="00540F6B" w14:paraId="5529D8D4" w14:textId="77777777" w:rsidTr="00396860">
        <w:trPr>
          <w:trHeight w:val="1382"/>
        </w:trPr>
        <w:tc>
          <w:tcPr>
            <w:tcW w:w="2065" w:type="dxa"/>
            <w:hideMark/>
          </w:tcPr>
          <w:p w14:paraId="38D4C1E6" w14:textId="77777777" w:rsidR="000A5CA4" w:rsidRPr="00540F6B" w:rsidRDefault="000A5CA4" w:rsidP="00396860">
            <w:pPr>
              <w:rPr>
                <w:rFonts w:cs="Arial"/>
                <w:sz w:val="20"/>
                <w:lang w:val="en-ZA"/>
              </w:rPr>
            </w:pPr>
            <w:r w:rsidRPr="00540F6B">
              <w:rPr>
                <w:rFonts w:cs="Arial"/>
                <w:sz w:val="20"/>
                <w:lang w:val="en-ZA"/>
              </w:rPr>
              <w:t>The IFRS for SMEs Standard</w:t>
            </w:r>
          </w:p>
        </w:tc>
        <w:tc>
          <w:tcPr>
            <w:tcW w:w="1890" w:type="dxa"/>
          </w:tcPr>
          <w:p w14:paraId="551F6600" w14:textId="77777777" w:rsidR="000A5CA4" w:rsidRPr="00540F6B" w:rsidRDefault="000A5CA4" w:rsidP="00396860">
            <w:pPr>
              <w:jc w:val="center"/>
              <w:rPr>
                <w:rFonts w:cs="Arial"/>
                <w:sz w:val="20"/>
              </w:rPr>
            </w:pPr>
            <w:r>
              <w:rPr>
                <w:rFonts w:cs="Arial"/>
                <w:sz w:val="20"/>
              </w:rPr>
              <w:t>5%</w:t>
            </w:r>
          </w:p>
        </w:tc>
        <w:tc>
          <w:tcPr>
            <w:tcW w:w="5868" w:type="dxa"/>
            <w:hideMark/>
          </w:tcPr>
          <w:p w14:paraId="3098F8D9" w14:textId="77777777" w:rsidR="000A5CA4" w:rsidRPr="00540F6B" w:rsidRDefault="000A5CA4" w:rsidP="005925A7">
            <w:pPr>
              <w:numPr>
                <w:ilvl w:val="0"/>
                <w:numId w:val="13"/>
              </w:numPr>
              <w:rPr>
                <w:rFonts w:cs="Arial"/>
                <w:sz w:val="20"/>
                <w:lang w:val="en-ZA"/>
              </w:rPr>
            </w:pPr>
            <w:r w:rsidRPr="00540F6B">
              <w:rPr>
                <w:rFonts w:cs="Arial"/>
                <w:sz w:val="20"/>
              </w:rPr>
              <w:t>Work with auditors, national standard-setters (NSS) and regulators to support consistent application</w:t>
            </w:r>
            <w:r>
              <w:rPr>
                <w:rFonts w:cs="Arial"/>
                <w:sz w:val="20"/>
              </w:rPr>
              <w:t>.</w:t>
            </w:r>
          </w:p>
          <w:p w14:paraId="778F776B" w14:textId="77777777" w:rsidR="000A5CA4" w:rsidRPr="00540F6B" w:rsidRDefault="000A5CA4" w:rsidP="005925A7">
            <w:pPr>
              <w:numPr>
                <w:ilvl w:val="0"/>
                <w:numId w:val="13"/>
              </w:numPr>
              <w:rPr>
                <w:rFonts w:cs="Arial"/>
                <w:sz w:val="20"/>
                <w:lang w:val="en-ZA"/>
              </w:rPr>
            </w:pPr>
            <w:r w:rsidRPr="00540F6B">
              <w:rPr>
                <w:rFonts w:cs="Arial"/>
                <w:sz w:val="20"/>
              </w:rPr>
              <w:t>Provide more educational material</w:t>
            </w:r>
            <w:r>
              <w:rPr>
                <w:rFonts w:cs="Arial"/>
                <w:sz w:val="20"/>
              </w:rPr>
              <w:t>.</w:t>
            </w:r>
          </w:p>
          <w:p w14:paraId="55E534DD" w14:textId="77777777" w:rsidR="000A5CA4" w:rsidRPr="00540F6B" w:rsidRDefault="000A5CA4" w:rsidP="005925A7">
            <w:pPr>
              <w:numPr>
                <w:ilvl w:val="0"/>
                <w:numId w:val="13"/>
              </w:numPr>
              <w:rPr>
                <w:rFonts w:cs="Arial"/>
                <w:sz w:val="20"/>
                <w:lang w:val="en-ZA"/>
              </w:rPr>
            </w:pPr>
            <w:r w:rsidRPr="00540F6B">
              <w:rPr>
                <w:rFonts w:cs="Arial"/>
                <w:sz w:val="20"/>
              </w:rPr>
              <w:t>Work more with NSS and others to increase global adoption of the IFRS for SMEs Standard</w:t>
            </w:r>
            <w:r>
              <w:rPr>
                <w:rFonts w:cs="Arial"/>
                <w:sz w:val="20"/>
              </w:rPr>
              <w:t>.</w:t>
            </w:r>
          </w:p>
        </w:tc>
      </w:tr>
      <w:tr w:rsidR="000A5CA4" w:rsidRPr="00540F6B" w14:paraId="490F3FB8" w14:textId="77777777" w:rsidTr="00396860">
        <w:trPr>
          <w:trHeight w:val="2267"/>
        </w:trPr>
        <w:tc>
          <w:tcPr>
            <w:tcW w:w="2065" w:type="dxa"/>
            <w:hideMark/>
          </w:tcPr>
          <w:p w14:paraId="41700EFD" w14:textId="77777777" w:rsidR="000A5CA4" w:rsidRPr="00540F6B" w:rsidRDefault="000A5CA4" w:rsidP="00396860">
            <w:pPr>
              <w:rPr>
                <w:rFonts w:cs="Arial"/>
                <w:sz w:val="20"/>
                <w:lang w:val="en-ZA"/>
              </w:rPr>
            </w:pPr>
            <w:r w:rsidRPr="00540F6B">
              <w:rPr>
                <w:rFonts w:cs="Arial"/>
                <w:sz w:val="20"/>
                <w:lang w:val="en-ZA"/>
              </w:rPr>
              <w:lastRenderedPageBreak/>
              <w:t>Digital financial reporting</w:t>
            </w:r>
          </w:p>
        </w:tc>
        <w:tc>
          <w:tcPr>
            <w:tcW w:w="1890" w:type="dxa"/>
          </w:tcPr>
          <w:p w14:paraId="02FBCED0" w14:textId="77777777" w:rsidR="000A5CA4" w:rsidRPr="00540F6B" w:rsidRDefault="000A5CA4" w:rsidP="00396860">
            <w:pPr>
              <w:jc w:val="center"/>
              <w:rPr>
                <w:rFonts w:cs="Arial"/>
                <w:sz w:val="20"/>
              </w:rPr>
            </w:pPr>
            <w:r>
              <w:rPr>
                <w:rFonts w:cs="Arial"/>
                <w:sz w:val="20"/>
              </w:rPr>
              <w:t>5%</w:t>
            </w:r>
          </w:p>
        </w:tc>
        <w:tc>
          <w:tcPr>
            <w:tcW w:w="5868" w:type="dxa"/>
            <w:hideMark/>
          </w:tcPr>
          <w:p w14:paraId="1139BF4E" w14:textId="77777777" w:rsidR="000A5CA4" w:rsidRPr="00540F6B" w:rsidRDefault="000A5CA4" w:rsidP="005925A7">
            <w:pPr>
              <w:numPr>
                <w:ilvl w:val="0"/>
                <w:numId w:val="14"/>
              </w:numPr>
              <w:rPr>
                <w:rFonts w:cs="Arial"/>
                <w:sz w:val="20"/>
              </w:rPr>
            </w:pPr>
            <w:r w:rsidRPr="00540F6B">
              <w:rPr>
                <w:rFonts w:cs="Arial"/>
                <w:sz w:val="20"/>
              </w:rPr>
              <w:t>Explore how advances in technology are changing the way information is consumed and assess which improvements are needed to the IFRS Taxonomy</w:t>
            </w:r>
            <w:r>
              <w:rPr>
                <w:rFonts w:cs="Arial"/>
                <w:sz w:val="20"/>
              </w:rPr>
              <w:t>.</w:t>
            </w:r>
          </w:p>
          <w:p w14:paraId="6F6CE096" w14:textId="77777777" w:rsidR="000A5CA4" w:rsidRPr="00540F6B" w:rsidRDefault="000A5CA4" w:rsidP="005925A7">
            <w:pPr>
              <w:numPr>
                <w:ilvl w:val="0"/>
                <w:numId w:val="14"/>
              </w:numPr>
              <w:rPr>
                <w:rFonts w:cs="Arial"/>
                <w:sz w:val="20"/>
              </w:rPr>
            </w:pPr>
            <w:r w:rsidRPr="00540F6B">
              <w:rPr>
                <w:rFonts w:cs="Arial"/>
                <w:sz w:val="20"/>
              </w:rPr>
              <w:t>Work more with regulators and others to increase global adoption of the IFRS Taxonomy</w:t>
            </w:r>
            <w:r>
              <w:rPr>
                <w:rFonts w:cs="Arial"/>
                <w:sz w:val="20"/>
              </w:rPr>
              <w:t>.</w:t>
            </w:r>
          </w:p>
          <w:p w14:paraId="3EF0D5C0" w14:textId="77777777" w:rsidR="000A5CA4" w:rsidRPr="00540F6B" w:rsidRDefault="000A5CA4" w:rsidP="005925A7">
            <w:pPr>
              <w:numPr>
                <w:ilvl w:val="0"/>
                <w:numId w:val="14"/>
              </w:numPr>
              <w:rPr>
                <w:rFonts w:cs="Arial"/>
                <w:sz w:val="20"/>
              </w:rPr>
            </w:pPr>
            <w:r w:rsidRPr="00540F6B">
              <w:rPr>
                <w:rFonts w:cs="Arial"/>
                <w:sz w:val="20"/>
              </w:rPr>
              <w:t>Work more with stakeholders to improve the quality of electronic data and consistency in application of the IFRS Taxonomy</w:t>
            </w:r>
            <w:r>
              <w:rPr>
                <w:rFonts w:cs="Arial"/>
                <w:sz w:val="20"/>
              </w:rPr>
              <w:t>.</w:t>
            </w:r>
          </w:p>
          <w:p w14:paraId="3844F8F2" w14:textId="77777777" w:rsidR="000A5CA4" w:rsidRPr="00540F6B" w:rsidRDefault="000A5CA4" w:rsidP="005925A7">
            <w:pPr>
              <w:numPr>
                <w:ilvl w:val="0"/>
                <w:numId w:val="14"/>
              </w:numPr>
              <w:rPr>
                <w:rFonts w:cs="Arial"/>
                <w:sz w:val="20"/>
              </w:rPr>
            </w:pPr>
            <w:r w:rsidRPr="00540F6B">
              <w:rPr>
                <w:rFonts w:cs="Arial"/>
                <w:sz w:val="20"/>
              </w:rPr>
              <w:t>Provide more educational material</w:t>
            </w:r>
            <w:r>
              <w:rPr>
                <w:rFonts w:cs="Arial"/>
                <w:sz w:val="20"/>
              </w:rPr>
              <w:t>.</w:t>
            </w:r>
          </w:p>
        </w:tc>
      </w:tr>
      <w:tr w:rsidR="000A5CA4" w:rsidRPr="00540F6B" w14:paraId="5339373C" w14:textId="77777777" w:rsidTr="00396860">
        <w:trPr>
          <w:trHeight w:val="1241"/>
        </w:trPr>
        <w:tc>
          <w:tcPr>
            <w:tcW w:w="2065" w:type="dxa"/>
            <w:hideMark/>
          </w:tcPr>
          <w:p w14:paraId="690C4D95" w14:textId="77777777" w:rsidR="000A5CA4" w:rsidRPr="00540F6B" w:rsidRDefault="000A5CA4" w:rsidP="00396860">
            <w:pPr>
              <w:rPr>
                <w:rFonts w:cs="Arial"/>
                <w:sz w:val="20"/>
                <w:lang w:val="en-ZA"/>
              </w:rPr>
            </w:pPr>
            <w:r w:rsidRPr="00540F6B">
              <w:rPr>
                <w:rFonts w:cs="Arial"/>
                <w:sz w:val="20"/>
                <w:lang w:val="en-ZA"/>
              </w:rPr>
              <w:t>Understandability and accessibility of the Standards</w:t>
            </w:r>
          </w:p>
        </w:tc>
        <w:tc>
          <w:tcPr>
            <w:tcW w:w="1890" w:type="dxa"/>
          </w:tcPr>
          <w:p w14:paraId="180941DF" w14:textId="77777777" w:rsidR="000A5CA4" w:rsidRPr="00540F6B" w:rsidRDefault="000A5CA4" w:rsidP="00396860">
            <w:pPr>
              <w:jc w:val="center"/>
              <w:rPr>
                <w:rFonts w:cs="Arial"/>
                <w:sz w:val="20"/>
              </w:rPr>
            </w:pPr>
            <w:r>
              <w:rPr>
                <w:rFonts w:cs="Arial"/>
                <w:sz w:val="20"/>
              </w:rPr>
              <w:t>5%</w:t>
            </w:r>
          </w:p>
        </w:tc>
        <w:tc>
          <w:tcPr>
            <w:tcW w:w="5868" w:type="dxa"/>
            <w:hideMark/>
          </w:tcPr>
          <w:p w14:paraId="3630BB57" w14:textId="77777777" w:rsidR="000A5CA4" w:rsidRPr="00540F6B" w:rsidRDefault="000A5CA4" w:rsidP="005925A7">
            <w:pPr>
              <w:numPr>
                <w:ilvl w:val="0"/>
                <w:numId w:val="15"/>
              </w:numPr>
              <w:rPr>
                <w:rFonts w:cs="Arial"/>
                <w:sz w:val="20"/>
              </w:rPr>
            </w:pPr>
            <w:r w:rsidRPr="00540F6B">
              <w:rPr>
                <w:rFonts w:cs="Arial"/>
                <w:sz w:val="20"/>
              </w:rPr>
              <w:t>Identify and address areas of unnecessary complexity</w:t>
            </w:r>
            <w:r>
              <w:rPr>
                <w:rFonts w:cs="Arial"/>
                <w:sz w:val="20"/>
              </w:rPr>
              <w:t>.</w:t>
            </w:r>
          </w:p>
          <w:p w14:paraId="068FBC58" w14:textId="77777777" w:rsidR="000A5CA4" w:rsidRPr="00540F6B" w:rsidRDefault="000A5CA4" w:rsidP="005925A7">
            <w:pPr>
              <w:numPr>
                <w:ilvl w:val="0"/>
                <w:numId w:val="15"/>
              </w:numPr>
              <w:rPr>
                <w:rFonts w:cs="Arial"/>
                <w:sz w:val="20"/>
              </w:rPr>
            </w:pPr>
            <w:r w:rsidRPr="00540F6B">
              <w:rPr>
                <w:rFonts w:cs="Arial"/>
                <w:sz w:val="20"/>
              </w:rPr>
              <w:t>Improve accessibility by using technology and other tools to help stakeholders find the most relevant materials to them</w:t>
            </w:r>
            <w:r>
              <w:rPr>
                <w:rFonts w:cs="Arial"/>
                <w:sz w:val="20"/>
              </w:rPr>
              <w:t>.</w:t>
            </w:r>
          </w:p>
        </w:tc>
      </w:tr>
      <w:tr w:rsidR="000A5CA4" w:rsidRPr="00540F6B" w14:paraId="3AE9E9A7" w14:textId="77777777" w:rsidTr="00396860">
        <w:trPr>
          <w:trHeight w:val="1382"/>
        </w:trPr>
        <w:tc>
          <w:tcPr>
            <w:tcW w:w="2065" w:type="dxa"/>
            <w:hideMark/>
          </w:tcPr>
          <w:p w14:paraId="5508ECA3" w14:textId="77777777" w:rsidR="000A5CA4" w:rsidRPr="00540F6B" w:rsidRDefault="000A5CA4" w:rsidP="00396860">
            <w:pPr>
              <w:rPr>
                <w:rFonts w:cs="Arial"/>
                <w:sz w:val="20"/>
                <w:lang w:val="en-ZA"/>
              </w:rPr>
            </w:pPr>
            <w:r w:rsidRPr="00540F6B">
              <w:rPr>
                <w:rFonts w:cs="Arial"/>
                <w:sz w:val="20"/>
                <w:lang w:val="en-ZA"/>
              </w:rPr>
              <w:t>Stakeholder engagement</w:t>
            </w:r>
          </w:p>
        </w:tc>
        <w:tc>
          <w:tcPr>
            <w:tcW w:w="1890" w:type="dxa"/>
          </w:tcPr>
          <w:p w14:paraId="526AFC03" w14:textId="77777777" w:rsidR="000A5CA4" w:rsidRPr="00540F6B" w:rsidRDefault="000A5CA4" w:rsidP="00396860">
            <w:pPr>
              <w:jc w:val="center"/>
              <w:rPr>
                <w:rFonts w:cs="Arial"/>
                <w:sz w:val="20"/>
              </w:rPr>
            </w:pPr>
            <w:r>
              <w:rPr>
                <w:rFonts w:cs="Arial"/>
                <w:sz w:val="20"/>
              </w:rPr>
              <w:t>20-25%</w:t>
            </w:r>
          </w:p>
        </w:tc>
        <w:tc>
          <w:tcPr>
            <w:tcW w:w="5868" w:type="dxa"/>
            <w:hideMark/>
          </w:tcPr>
          <w:p w14:paraId="6D52CDE9" w14:textId="77777777" w:rsidR="000A5CA4" w:rsidRPr="00540F6B" w:rsidRDefault="000A5CA4" w:rsidP="005925A7">
            <w:pPr>
              <w:numPr>
                <w:ilvl w:val="0"/>
                <w:numId w:val="16"/>
              </w:numPr>
              <w:rPr>
                <w:rFonts w:cs="Arial"/>
                <w:sz w:val="20"/>
              </w:rPr>
            </w:pPr>
            <w:r w:rsidRPr="00540F6B">
              <w:rPr>
                <w:rFonts w:cs="Arial"/>
                <w:sz w:val="20"/>
              </w:rPr>
              <w:t>Increase engagement with a broad range of stakeholders through standing consultative groups and informal events</w:t>
            </w:r>
            <w:r>
              <w:rPr>
                <w:rFonts w:cs="Arial"/>
                <w:sz w:val="20"/>
              </w:rPr>
              <w:t>.</w:t>
            </w:r>
          </w:p>
          <w:p w14:paraId="1CB26725" w14:textId="77777777" w:rsidR="000A5CA4" w:rsidRPr="00540F6B" w:rsidRDefault="000A5CA4" w:rsidP="005925A7">
            <w:pPr>
              <w:numPr>
                <w:ilvl w:val="0"/>
                <w:numId w:val="16"/>
              </w:numPr>
              <w:rPr>
                <w:rFonts w:cs="Arial"/>
                <w:sz w:val="20"/>
              </w:rPr>
            </w:pPr>
            <w:r w:rsidRPr="00540F6B">
              <w:rPr>
                <w:rFonts w:cs="Arial"/>
                <w:sz w:val="20"/>
              </w:rPr>
              <w:t>Increase engagement on formal consultations through use of digital-friendly approaches</w:t>
            </w:r>
            <w:r>
              <w:rPr>
                <w:rFonts w:cs="Arial"/>
                <w:sz w:val="20"/>
              </w:rPr>
              <w:t>.</w:t>
            </w:r>
          </w:p>
          <w:p w14:paraId="032BC7E4" w14:textId="77777777" w:rsidR="000A5CA4" w:rsidRDefault="000A5CA4" w:rsidP="005925A7">
            <w:pPr>
              <w:numPr>
                <w:ilvl w:val="0"/>
                <w:numId w:val="16"/>
              </w:numPr>
              <w:rPr>
                <w:rFonts w:cs="Arial"/>
                <w:sz w:val="20"/>
              </w:rPr>
            </w:pPr>
            <w:r w:rsidRPr="00540F6B">
              <w:rPr>
                <w:rFonts w:cs="Arial"/>
                <w:sz w:val="20"/>
              </w:rPr>
              <w:t>Arrange more investor-focused educational materials</w:t>
            </w:r>
            <w:r>
              <w:rPr>
                <w:rFonts w:cs="Arial"/>
                <w:sz w:val="20"/>
              </w:rPr>
              <w:t>.</w:t>
            </w:r>
          </w:p>
          <w:p w14:paraId="41A03A50" w14:textId="77777777" w:rsidR="000A5CA4" w:rsidRPr="00540F6B" w:rsidRDefault="000A5CA4" w:rsidP="00396860">
            <w:pPr>
              <w:ind w:left="720"/>
              <w:rPr>
                <w:rFonts w:cs="Arial"/>
                <w:sz w:val="20"/>
              </w:rPr>
            </w:pPr>
          </w:p>
        </w:tc>
      </w:tr>
    </w:tbl>
    <w:p w14:paraId="07EA5972" w14:textId="77777777" w:rsidR="008D4416" w:rsidRDefault="008D4416" w:rsidP="008D4416">
      <w:pPr>
        <w:rPr>
          <w:rFonts w:ascii="Addington CF Thin" w:hAnsi="Addington CF Thin"/>
          <w:b/>
          <w:bCs/>
          <w:color w:val="auto"/>
          <w:sz w:val="24"/>
          <w:szCs w:val="24"/>
        </w:rPr>
      </w:pPr>
    </w:p>
    <w:p w14:paraId="338EC6DC" w14:textId="1C963D88" w:rsidR="00F559B0" w:rsidRPr="006F7364" w:rsidRDefault="008D4416" w:rsidP="005925A7">
      <w:pPr>
        <w:pStyle w:val="ListParagraph"/>
        <w:numPr>
          <w:ilvl w:val="0"/>
          <w:numId w:val="18"/>
        </w:numPr>
        <w:rPr>
          <w:rFonts w:ascii="Addington CF Thin" w:hAnsi="Addington CF Thin"/>
          <w:b/>
          <w:bCs/>
          <w:color w:val="auto"/>
          <w:sz w:val="24"/>
          <w:szCs w:val="24"/>
        </w:rPr>
      </w:pPr>
      <w:r w:rsidRPr="006F7364">
        <w:rPr>
          <w:rFonts w:ascii="Addington CF Thin" w:hAnsi="Addington CF Thin"/>
          <w:b/>
          <w:bCs/>
          <w:color w:val="auto"/>
          <w:sz w:val="24"/>
          <w:szCs w:val="24"/>
        </w:rPr>
        <w:t xml:space="preserve">Criteria used by </w:t>
      </w:r>
      <w:r w:rsidR="00F559B0" w:rsidRPr="006F7364">
        <w:rPr>
          <w:rFonts w:ascii="Addington CF Thin" w:hAnsi="Addington CF Thin"/>
          <w:b/>
          <w:bCs/>
          <w:color w:val="auto"/>
          <w:sz w:val="24"/>
          <w:szCs w:val="24"/>
        </w:rPr>
        <w:t xml:space="preserve">IASB </w:t>
      </w:r>
      <w:r w:rsidRPr="006F7364">
        <w:rPr>
          <w:rFonts w:ascii="Addington CF Thin" w:hAnsi="Addington CF Thin"/>
          <w:b/>
          <w:bCs/>
          <w:color w:val="auto"/>
          <w:sz w:val="24"/>
          <w:szCs w:val="24"/>
        </w:rPr>
        <w:t>to decide whether a project should be added to its workplan</w:t>
      </w:r>
    </w:p>
    <w:p w14:paraId="076FB6B3" w14:textId="77777777" w:rsidR="00F559B0" w:rsidRDefault="00F559B0" w:rsidP="00F559B0">
      <w:pPr>
        <w:rPr>
          <w:rFonts w:cs="Arial"/>
          <w:sz w:val="20"/>
          <w:lang w:val="en-GB"/>
        </w:rPr>
      </w:pPr>
    </w:p>
    <w:p w14:paraId="4F5AD618" w14:textId="77777777" w:rsidR="004C6883" w:rsidRDefault="004C6883" w:rsidP="004C6883">
      <w:pPr>
        <w:rPr>
          <w:rFonts w:cs="Arial"/>
          <w:sz w:val="20"/>
          <w:lang w:val="en-GB"/>
        </w:rPr>
      </w:pPr>
      <w:r>
        <w:rPr>
          <w:rFonts w:cs="Arial"/>
          <w:sz w:val="20"/>
          <w:lang w:val="en-GB"/>
        </w:rPr>
        <w:t>IASB uses the following criteria to decide whether a project should be added to its workplan:</w:t>
      </w:r>
    </w:p>
    <w:p w14:paraId="6A7CE26D" w14:textId="77777777" w:rsidR="004C6883" w:rsidRDefault="004C6883" w:rsidP="004C6883">
      <w:pPr>
        <w:rPr>
          <w:rFonts w:cs="Arial"/>
          <w:sz w:val="20"/>
          <w:lang w:val="en-GB"/>
        </w:rPr>
      </w:pPr>
    </w:p>
    <w:p w14:paraId="6BD369DF" w14:textId="7C717ABB" w:rsidR="00F559B0" w:rsidRDefault="00F559B0" w:rsidP="005925A7">
      <w:pPr>
        <w:pStyle w:val="ListParagraph"/>
        <w:numPr>
          <w:ilvl w:val="0"/>
          <w:numId w:val="19"/>
        </w:numPr>
        <w:rPr>
          <w:rFonts w:cs="Arial"/>
          <w:sz w:val="20"/>
          <w:lang w:val="en-GB"/>
        </w:rPr>
      </w:pPr>
      <w:r w:rsidRPr="004C6883">
        <w:rPr>
          <w:rFonts w:cs="Arial"/>
          <w:sz w:val="20"/>
          <w:lang w:val="en-GB"/>
        </w:rPr>
        <w:t>The importance of the matter to investors</w:t>
      </w:r>
    </w:p>
    <w:p w14:paraId="287E616E" w14:textId="77777777" w:rsidR="004C6883" w:rsidRPr="004C6883" w:rsidRDefault="004C6883" w:rsidP="004C6883">
      <w:pPr>
        <w:pStyle w:val="ListParagraph"/>
        <w:ind w:left="1440"/>
        <w:rPr>
          <w:rFonts w:cs="Arial"/>
          <w:sz w:val="20"/>
          <w:lang w:val="en-GB"/>
        </w:rPr>
      </w:pPr>
    </w:p>
    <w:p w14:paraId="28918653" w14:textId="2444E5CF" w:rsidR="00F559B0" w:rsidRDefault="00F559B0" w:rsidP="005925A7">
      <w:pPr>
        <w:pStyle w:val="ListParagraph"/>
        <w:numPr>
          <w:ilvl w:val="0"/>
          <w:numId w:val="19"/>
        </w:numPr>
        <w:rPr>
          <w:rFonts w:cs="Arial"/>
          <w:sz w:val="20"/>
          <w:lang w:val="en-GB"/>
        </w:rPr>
      </w:pPr>
      <w:r w:rsidRPr="004C6883">
        <w:rPr>
          <w:rFonts w:cs="Arial"/>
          <w:sz w:val="20"/>
          <w:lang w:val="en-GB"/>
        </w:rPr>
        <w:t>Whether there is any deficiency in the way companies report the type of transaction or activity in financial reports</w:t>
      </w:r>
    </w:p>
    <w:p w14:paraId="2C500331" w14:textId="77777777" w:rsidR="00E344BF" w:rsidRPr="00E344BF" w:rsidRDefault="00E344BF" w:rsidP="00E344BF">
      <w:pPr>
        <w:pStyle w:val="ListParagraph"/>
        <w:rPr>
          <w:rFonts w:cs="Arial"/>
          <w:sz w:val="20"/>
          <w:lang w:val="en-GB"/>
        </w:rPr>
      </w:pPr>
    </w:p>
    <w:p w14:paraId="71DAF0CC" w14:textId="16D59FD7" w:rsidR="00F559B0" w:rsidRDefault="00F559B0" w:rsidP="005925A7">
      <w:pPr>
        <w:pStyle w:val="ListParagraph"/>
        <w:numPr>
          <w:ilvl w:val="0"/>
          <w:numId w:val="19"/>
        </w:numPr>
        <w:rPr>
          <w:rFonts w:cs="Arial"/>
          <w:sz w:val="20"/>
          <w:lang w:val="en-GB"/>
        </w:rPr>
      </w:pPr>
      <w:r w:rsidRPr="004C6883">
        <w:rPr>
          <w:rFonts w:cs="Arial"/>
          <w:sz w:val="20"/>
          <w:lang w:val="en-GB"/>
        </w:rPr>
        <w:t>The type of companies that the matter is likely to affect, including whether the matter is more prevalent in some jurisdictions than others</w:t>
      </w:r>
    </w:p>
    <w:p w14:paraId="6DA976D0" w14:textId="77777777" w:rsidR="00E344BF" w:rsidRPr="00E344BF" w:rsidRDefault="00E344BF" w:rsidP="00E344BF">
      <w:pPr>
        <w:pStyle w:val="ListParagraph"/>
        <w:rPr>
          <w:rFonts w:cs="Arial"/>
          <w:sz w:val="20"/>
          <w:lang w:val="en-GB"/>
        </w:rPr>
      </w:pPr>
    </w:p>
    <w:p w14:paraId="7754A95C" w14:textId="7B5071B3" w:rsidR="00F559B0" w:rsidRDefault="00F559B0" w:rsidP="005925A7">
      <w:pPr>
        <w:pStyle w:val="ListParagraph"/>
        <w:numPr>
          <w:ilvl w:val="0"/>
          <w:numId w:val="19"/>
        </w:numPr>
        <w:rPr>
          <w:rFonts w:cs="Arial"/>
          <w:sz w:val="20"/>
          <w:lang w:val="en-GB"/>
        </w:rPr>
      </w:pPr>
      <w:r w:rsidRPr="004C6883">
        <w:rPr>
          <w:rFonts w:cs="Arial"/>
          <w:sz w:val="20"/>
          <w:lang w:val="en-GB"/>
        </w:rPr>
        <w:t>How pervasive or acute the matter is likely to be for companies</w:t>
      </w:r>
    </w:p>
    <w:p w14:paraId="6843D448" w14:textId="77777777" w:rsidR="00E344BF" w:rsidRPr="00E344BF" w:rsidRDefault="00E344BF" w:rsidP="00E344BF">
      <w:pPr>
        <w:pStyle w:val="ListParagraph"/>
        <w:rPr>
          <w:rFonts w:cs="Arial"/>
          <w:sz w:val="20"/>
          <w:lang w:val="en-GB"/>
        </w:rPr>
      </w:pPr>
    </w:p>
    <w:p w14:paraId="05F213F4" w14:textId="6958DE6E" w:rsidR="00F559B0" w:rsidRDefault="00F559B0" w:rsidP="005925A7">
      <w:pPr>
        <w:pStyle w:val="ListParagraph"/>
        <w:numPr>
          <w:ilvl w:val="0"/>
          <w:numId w:val="19"/>
        </w:numPr>
        <w:rPr>
          <w:rFonts w:cs="Arial"/>
          <w:sz w:val="20"/>
          <w:lang w:val="en-GB"/>
        </w:rPr>
      </w:pPr>
      <w:r w:rsidRPr="004C6883">
        <w:rPr>
          <w:rFonts w:cs="Arial"/>
          <w:sz w:val="20"/>
          <w:lang w:val="en-GB"/>
        </w:rPr>
        <w:t>The potential project’s interaction with other projects on the work plan</w:t>
      </w:r>
    </w:p>
    <w:p w14:paraId="44B3326B" w14:textId="77777777" w:rsidR="00E344BF" w:rsidRPr="00E344BF" w:rsidRDefault="00E344BF" w:rsidP="00E344BF">
      <w:pPr>
        <w:pStyle w:val="ListParagraph"/>
        <w:rPr>
          <w:rFonts w:cs="Arial"/>
          <w:sz w:val="20"/>
          <w:lang w:val="en-GB"/>
        </w:rPr>
      </w:pPr>
    </w:p>
    <w:p w14:paraId="32F42FEA" w14:textId="0ED0E473" w:rsidR="00F559B0" w:rsidRDefault="00F559B0" w:rsidP="005925A7">
      <w:pPr>
        <w:pStyle w:val="ListParagraph"/>
        <w:numPr>
          <w:ilvl w:val="0"/>
          <w:numId w:val="19"/>
        </w:numPr>
        <w:rPr>
          <w:rFonts w:cs="Arial"/>
          <w:sz w:val="20"/>
          <w:lang w:val="en-GB"/>
        </w:rPr>
      </w:pPr>
      <w:r w:rsidRPr="004C6883">
        <w:rPr>
          <w:rFonts w:cs="Arial"/>
          <w:sz w:val="20"/>
          <w:lang w:val="en-GB"/>
        </w:rPr>
        <w:t>The complexity and feasibility of the potential project and its solutions</w:t>
      </w:r>
    </w:p>
    <w:p w14:paraId="5F652827" w14:textId="77777777" w:rsidR="00E344BF" w:rsidRPr="00E344BF" w:rsidRDefault="00E344BF" w:rsidP="00E344BF">
      <w:pPr>
        <w:pStyle w:val="ListParagraph"/>
        <w:rPr>
          <w:rFonts w:cs="Arial"/>
          <w:sz w:val="20"/>
          <w:lang w:val="en-GB"/>
        </w:rPr>
      </w:pPr>
    </w:p>
    <w:p w14:paraId="5CDEE74B" w14:textId="77777777" w:rsidR="00F559B0" w:rsidRPr="004C6883" w:rsidRDefault="00F559B0" w:rsidP="005925A7">
      <w:pPr>
        <w:pStyle w:val="ListParagraph"/>
        <w:numPr>
          <w:ilvl w:val="0"/>
          <w:numId w:val="19"/>
        </w:numPr>
        <w:rPr>
          <w:rFonts w:cs="Arial"/>
          <w:sz w:val="20"/>
          <w:lang w:val="en-GB"/>
        </w:rPr>
      </w:pPr>
      <w:r w:rsidRPr="004C6883">
        <w:rPr>
          <w:rFonts w:cs="Arial"/>
          <w:sz w:val="20"/>
          <w:lang w:val="en-GB"/>
        </w:rPr>
        <w:t>The capacity of the Board and its stakeholders to make timely progress on the potential project</w:t>
      </w:r>
    </w:p>
    <w:p w14:paraId="7A853748" w14:textId="77777777" w:rsidR="00BC6DEE" w:rsidRDefault="00BC6DEE" w:rsidP="00B65317">
      <w:pPr>
        <w:rPr>
          <w:rFonts w:cs="Arial"/>
          <w:sz w:val="24"/>
          <w:szCs w:val="24"/>
          <w:lang w:val="en-GB"/>
        </w:rPr>
      </w:pPr>
    </w:p>
    <w:p w14:paraId="255F369D" w14:textId="0E008B68" w:rsidR="00F559B0" w:rsidRPr="006F7364" w:rsidRDefault="005A3D59" w:rsidP="005925A7">
      <w:pPr>
        <w:pStyle w:val="ListParagraph"/>
        <w:numPr>
          <w:ilvl w:val="0"/>
          <w:numId w:val="18"/>
        </w:numPr>
        <w:rPr>
          <w:rFonts w:ascii="Addington CF Thin" w:hAnsi="Addington CF Thin"/>
          <w:b/>
          <w:bCs/>
          <w:color w:val="auto"/>
          <w:sz w:val="24"/>
          <w:szCs w:val="24"/>
        </w:rPr>
      </w:pPr>
      <w:r w:rsidRPr="00551AB5">
        <w:rPr>
          <w:rFonts w:cs="Arial"/>
          <w:noProof/>
          <w:sz w:val="20"/>
        </w:rPr>
        <mc:AlternateContent>
          <mc:Choice Requires="wps">
            <w:drawing>
              <wp:anchor distT="0" distB="0" distL="114300" distR="114300" simplePos="0" relativeHeight="251659264" behindDoc="0" locked="0" layoutInCell="1" allowOverlap="1" wp14:anchorId="22C53C14" wp14:editId="7433E7D4">
                <wp:simplePos x="0" y="0"/>
                <wp:positionH relativeFrom="column">
                  <wp:posOffset>3183255</wp:posOffset>
                </wp:positionH>
                <wp:positionV relativeFrom="paragraph">
                  <wp:posOffset>2529205</wp:posOffset>
                </wp:positionV>
                <wp:extent cx="2804160" cy="236220"/>
                <wp:effectExtent l="0" t="0" r="0" b="0"/>
                <wp:wrapNone/>
                <wp:docPr id="8" name="TextBox 7">
                  <a:extLst xmlns:a="http://schemas.openxmlformats.org/drawingml/2006/main">
                    <a:ext uri="{FF2B5EF4-FFF2-40B4-BE49-F238E27FC236}">
                      <a16:creationId xmlns:a16="http://schemas.microsoft.com/office/drawing/2014/main" id="{D7A69E39-190E-493A-A72A-2EA64B27AA88}"/>
                    </a:ext>
                  </a:extLst>
                </wp:docPr>
                <wp:cNvGraphicFramePr/>
                <a:graphic xmlns:a="http://schemas.openxmlformats.org/drawingml/2006/main">
                  <a:graphicData uri="http://schemas.microsoft.com/office/word/2010/wordprocessingShape">
                    <wps:wsp>
                      <wps:cNvSpPr txBox="1"/>
                      <wps:spPr>
                        <a:xfrm>
                          <a:off x="0" y="0"/>
                          <a:ext cx="2804160" cy="236220"/>
                        </a:xfrm>
                        <a:prstGeom prst="rect">
                          <a:avLst/>
                        </a:prstGeom>
                        <a:noFill/>
                      </wps:spPr>
                      <wps:txbx>
                        <w:txbxContent>
                          <w:p w14:paraId="7E22B067" w14:textId="77777777" w:rsidR="00540F6B" w:rsidRPr="005A3D59" w:rsidRDefault="00540F6B" w:rsidP="00551AB5">
                            <w:pPr>
                              <w:jc w:val="right"/>
                              <w:rPr>
                                <w:rFonts w:asciiTheme="minorHAnsi" w:hAnsiTheme="minorHAnsi"/>
                                <w:color w:val="auto"/>
                                <w:sz w:val="18"/>
                                <w:szCs w:val="18"/>
                              </w:rPr>
                            </w:pPr>
                            <w:r w:rsidRPr="005A3D59">
                              <w:rPr>
                                <w:rFonts w:asciiTheme="minorHAnsi" w:eastAsia="Roboto UKEB" w:hAnsiTheme="minorHAnsi" w:cstheme="minorBidi"/>
                                <w:color w:val="auto"/>
                                <w:kern w:val="24"/>
                                <w:sz w:val="16"/>
                                <w:szCs w:val="16"/>
                              </w:rPr>
                              <w:t xml:space="preserve">*project in the current IASB research pipeline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22C53C14" id="_x0000_t202" coordsize="21600,21600" o:spt="202" path="m,l,21600r21600,l21600,xe">
                <v:stroke joinstyle="miter"/>
                <v:path gradientshapeok="t" o:connecttype="rect"/>
              </v:shapetype>
              <v:shape id="TextBox 7" o:spid="_x0000_s1026" type="#_x0000_t202" style="position:absolute;left:0;text-align:left;margin-left:250.65pt;margin-top:199.15pt;width:220.8pt;height:1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" filled="f" stroked="f">
                <v:textbox>
                  <w:txbxContent>
                    <w:p w14:paraId="7E22B067" w14:textId="77777777" w:rsidR="00540F6B" w:rsidRPr="005A3D59" w:rsidRDefault="00540F6B" w:rsidP="00551AB5">
                      <w:pPr>
                        <w:jc w:val="right"/>
                        <w:rPr>
                          <w:rFonts w:asciiTheme="minorHAnsi" w:hAnsiTheme="minorHAnsi"/>
                          <w:color w:val="auto"/>
                          <w:sz w:val="18"/>
                          <w:szCs w:val="18"/>
                        </w:rPr>
                      </w:pPr>
                      <w:r w:rsidRPr="005A3D59">
                        <w:rPr>
                          <w:rFonts w:asciiTheme="minorHAnsi" w:eastAsia="Roboto UKEB" w:hAnsiTheme="minorHAnsi" w:cstheme="minorBidi"/>
                          <w:color w:val="auto"/>
                          <w:kern w:val="24"/>
                          <w:sz w:val="16"/>
                          <w:szCs w:val="16"/>
                        </w:rPr>
                        <w:t xml:space="preserve">*project in the current IASB research pipeline </w:t>
                      </w:r>
                    </w:p>
                  </w:txbxContent>
                </v:textbox>
              </v:shape>
            </w:pict>
          </mc:Fallback>
        </mc:AlternateContent>
      </w:r>
      <w:r w:rsidR="00F559B0" w:rsidRPr="006F7364">
        <w:rPr>
          <w:rFonts w:ascii="Addington CF Thin" w:hAnsi="Addington CF Thin"/>
          <w:b/>
          <w:bCs/>
          <w:color w:val="auto"/>
          <w:sz w:val="24"/>
          <w:szCs w:val="24"/>
        </w:rPr>
        <w:t>Financial reporting issues that could be added to IASB workplan</w:t>
      </w:r>
    </w:p>
    <w:p w14:paraId="1750E1BE" w14:textId="3C01C53E" w:rsidR="00B24849" w:rsidRDefault="00B24849" w:rsidP="00F559B0">
      <w:pPr>
        <w:rPr>
          <w:rFonts w:ascii="Addington CF Thin" w:hAnsi="Addington CF Thin"/>
          <w:b/>
          <w:bCs/>
          <w:color w:val="auto"/>
          <w:sz w:val="24"/>
          <w:szCs w:val="24"/>
        </w:rPr>
      </w:pPr>
    </w:p>
    <w:p w14:paraId="2AF89E96" w14:textId="387086EF" w:rsidR="00B24849" w:rsidRPr="00B24849" w:rsidRDefault="00B24849" w:rsidP="00F559B0">
      <w:pPr>
        <w:rPr>
          <w:rFonts w:asciiTheme="minorHAnsi" w:hAnsiTheme="minorHAnsi" w:cs="Arial"/>
          <w:szCs w:val="22"/>
          <w:lang w:val="en-GB"/>
        </w:rPr>
      </w:pPr>
      <w:r>
        <w:rPr>
          <w:rFonts w:asciiTheme="minorHAnsi" w:hAnsiTheme="minorHAnsi"/>
          <w:color w:val="auto"/>
          <w:szCs w:val="22"/>
        </w:rPr>
        <w:t xml:space="preserve">IASB has identified the potential projects below for </w:t>
      </w:r>
      <w:r w:rsidR="007C794E">
        <w:rPr>
          <w:rFonts w:asciiTheme="minorHAnsi" w:hAnsiTheme="minorHAnsi"/>
          <w:color w:val="auto"/>
          <w:szCs w:val="22"/>
        </w:rPr>
        <w:t>possible inclusion in its future workplan.</w:t>
      </w:r>
    </w:p>
    <w:p w14:paraId="3FAF0E62" w14:textId="50BEE3E6" w:rsidR="00D634F8" w:rsidRDefault="00D634F8" w:rsidP="00B65317">
      <w:pPr>
        <w:rPr>
          <w:rFonts w:cs="Arial"/>
          <w:sz w:val="24"/>
          <w:szCs w:val="24"/>
          <w:lang w:val="en-GB"/>
        </w:rPr>
      </w:pPr>
    </w:p>
    <w:tbl>
      <w:tblPr>
        <w:tblStyle w:val="GridTable1Light"/>
        <w:tblW w:w="9263" w:type="dxa"/>
        <w:tblLook w:val="0420" w:firstRow="1" w:lastRow="0" w:firstColumn="0" w:lastColumn="0" w:noHBand="0" w:noVBand="1"/>
      </w:tblPr>
      <w:tblGrid>
        <w:gridCol w:w="4631"/>
        <w:gridCol w:w="4632"/>
      </w:tblGrid>
      <w:tr w:rsidR="00551AB5" w:rsidRPr="00551AB5" w14:paraId="4365A178" w14:textId="77777777" w:rsidTr="004674F7">
        <w:trPr>
          <w:cnfStyle w:val="100000000000" w:firstRow="1" w:lastRow="0" w:firstColumn="0" w:lastColumn="0" w:oddVBand="0" w:evenVBand="0" w:oddHBand="0" w:evenHBand="0" w:firstRowFirstColumn="0" w:firstRowLastColumn="0" w:lastRowFirstColumn="0" w:lastRowLastColumn="0"/>
          <w:trHeight w:val="323"/>
        </w:trPr>
        <w:tc>
          <w:tcPr>
            <w:tcW w:w="9263" w:type="dxa"/>
            <w:gridSpan w:val="2"/>
            <w:shd w:val="clear" w:color="auto" w:fill="54CFBF" w:themeFill="accent2"/>
            <w:hideMark/>
          </w:tcPr>
          <w:p w14:paraId="23D527D3" w14:textId="1F9B8DC7" w:rsidR="00551AB5" w:rsidRPr="005C73E4" w:rsidRDefault="00A32FE5" w:rsidP="00551AB5">
            <w:pPr>
              <w:jc w:val="center"/>
              <w:rPr>
                <w:rFonts w:cs="Arial"/>
                <w:sz w:val="18"/>
                <w:szCs w:val="18"/>
                <w:lang w:val="en-ZA"/>
              </w:rPr>
            </w:pPr>
            <w:r>
              <w:rPr>
                <w:rFonts w:cs="Arial"/>
                <w:sz w:val="18"/>
                <w:szCs w:val="18"/>
                <w:lang w:val="en-ZA"/>
              </w:rPr>
              <w:t>Potential Projects for IASB’s Future Work Plan</w:t>
            </w:r>
          </w:p>
        </w:tc>
      </w:tr>
      <w:tr w:rsidR="00551AB5" w:rsidRPr="00551AB5" w14:paraId="5EB16796" w14:textId="77777777" w:rsidTr="004674F7">
        <w:trPr>
          <w:trHeight w:val="297"/>
        </w:trPr>
        <w:tc>
          <w:tcPr>
            <w:tcW w:w="4631" w:type="dxa"/>
            <w:hideMark/>
          </w:tcPr>
          <w:p w14:paraId="2CF04DF0" w14:textId="77777777" w:rsidR="00551AB5" w:rsidRPr="005C73E4" w:rsidRDefault="00551AB5" w:rsidP="00551AB5">
            <w:pPr>
              <w:rPr>
                <w:rFonts w:cs="Arial"/>
                <w:sz w:val="18"/>
                <w:szCs w:val="18"/>
                <w:lang w:val="en-ZA"/>
              </w:rPr>
            </w:pPr>
            <w:r w:rsidRPr="005C73E4">
              <w:rPr>
                <w:rFonts w:cs="Arial"/>
                <w:sz w:val="18"/>
                <w:szCs w:val="18"/>
              </w:rPr>
              <w:t>1. Borrowing Costs</w:t>
            </w:r>
          </w:p>
        </w:tc>
        <w:tc>
          <w:tcPr>
            <w:tcW w:w="4631" w:type="dxa"/>
            <w:hideMark/>
          </w:tcPr>
          <w:p w14:paraId="19EAC5C2" w14:textId="77777777" w:rsidR="00551AB5" w:rsidRPr="005C73E4" w:rsidRDefault="00551AB5" w:rsidP="00551AB5">
            <w:pPr>
              <w:rPr>
                <w:rFonts w:cs="Arial"/>
                <w:sz w:val="18"/>
                <w:szCs w:val="18"/>
                <w:lang w:val="en-ZA"/>
              </w:rPr>
            </w:pPr>
            <w:r w:rsidRPr="005C73E4">
              <w:rPr>
                <w:rFonts w:cs="Arial"/>
                <w:sz w:val="18"/>
                <w:szCs w:val="18"/>
              </w:rPr>
              <w:t xml:space="preserve">2. </w:t>
            </w:r>
            <w:r w:rsidRPr="005C73E4">
              <w:rPr>
                <w:rFonts w:cs="Arial"/>
                <w:sz w:val="18"/>
                <w:szCs w:val="18"/>
                <w:lang w:val="en-ZA"/>
              </w:rPr>
              <w:t>Climate-related risks</w:t>
            </w:r>
          </w:p>
        </w:tc>
      </w:tr>
      <w:tr w:rsidR="00551AB5" w:rsidRPr="00551AB5" w14:paraId="32DC1B62" w14:textId="77777777" w:rsidTr="004674F7">
        <w:trPr>
          <w:trHeight w:val="297"/>
        </w:trPr>
        <w:tc>
          <w:tcPr>
            <w:tcW w:w="4631" w:type="dxa"/>
            <w:hideMark/>
          </w:tcPr>
          <w:p w14:paraId="56DFC39A" w14:textId="5D0BE697" w:rsidR="00551AB5" w:rsidRPr="005C73E4" w:rsidRDefault="00551AB5" w:rsidP="00551AB5">
            <w:pPr>
              <w:rPr>
                <w:rFonts w:cs="Arial"/>
                <w:sz w:val="18"/>
                <w:szCs w:val="18"/>
                <w:lang w:val="en-ZA"/>
              </w:rPr>
            </w:pPr>
            <w:r w:rsidRPr="005C73E4">
              <w:rPr>
                <w:rFonts w:cs="Arial"/>
                <w:sz w:val="18"/>
                <w:szCs w:val="18"/>
              </w:rPr>
              <w:t xml:space="preserve">3. </w:t>
            </w:r>
            <w:r w:rsidRPr="005C73E4">
              <w:rPr>
                <w:rFonts w:cs="Arial"/>
                <w:sz w:val="18"/>
                <w:szCs w:val="18"/>
                <w:lang w:val="en-ZA"/>
              </w:rPr>
              <w:t>Commodity transactions</w:t>
            </w:r>
          </w:p>
        </w:tc>
        <w:tc>
          <w:tcPr>
            <w:tcW w:w="4631" w:type="dxa"/>
            <w:hideMark/>
          </w:tcPr>
          <w:p w14:paraId="615FCA2D" w14:textId="77777777" w:rsidR="00551AB5" w:rsidRPr="005C73E4" w:rsidRDefault="00551AB5" w:rsidP="00551AB5">
            <w:pPr>
              <w:rPr>
                <w:rFonts w:cs="Arial"/>
                <w:sz w:val="18"/>
                <w:szCs w:val="18"/>
                <w:lang w:val="en-ZA"/>
              </w:rPr>
            </w:pPr>
            <w:r w:rsidRPr="005C73E4">
              <w:rPr>
                <w:rFonts w:cs="Arial"/>
                <w:sz w:val="18"/>
                <w:szCs w:val="18"/>
                <w:lang w:val="en-ZA"/>
              </w:rPr>
              <w:t>4. Cryptocurrencies and related transactions</w:t>
            </w:r>
          </w:p>
        </w:tc>
      </w:tr>
      <w:tr w:rsidR="00551AB5" w:rsidRPr="00551AB5" w14:paraId="5A8D685D" w14:textId="77777777" w:rsidTr="004674F7">
        <w:trPr>
          <w:trHeight w:val="297"/>
        </w:trPr>
        <w:tc>
          <w:tcPr>
            <w:tcW w:w="4631" w:type="dxa"/>
            <w:hideMark/>
          </w:tcPr>
          <w:p w14:paraId="41133BD1" w14:textId="77777777" w:rsidR="00551AB5" w:rsidRPr="005C73E4" w:rsidRDefault="00551AB5" w:rsidP="00551AB5">
            <w:pPr>
              <w:rPr>
                <w:rFonts w:cs="Arial"/>
                <w:sz w:val="18"/>
                <w:szCs w:val="18"/>
                <w:lang w:val="en-ZA"/>
              </w:rPr>
            </w:pPr>
            <w:r w:rsidRPr="005C73E4">
              <w:rPr>
                <w:rFonts w:cs="Arial"/>
                <w:sz w:val="18"/>
                <w:szCs w:val="18"/>
              </w:rPr>
              <w:t xml:space="preserve">5. </w:t>
            </w:r>
            <w:r w:rsidRPr="005C73E4">
              <w:rPr>
                <w:rFonts w:cs="Arial"/>
                <w:sz w:val="18"/>
                <w:szCs w:val="18"/>
                <w:lang w:val="en-ZA"/>
              </w:rPr>
              <w:t>Discontinued operations and disposal groups*</w:t>
            </w:r>
          </w:p>
        </w:tc>
        <w:tc>
          <w:tcPr>
            <w:tcW w:w="4631" w:type="dxa"/>
            <w:hideMark/>
          </w:tcPr>
          <w:p w14:paraId="19EAAA21" w14:textId="77777777" w:rsidR="00551AB5" w:rsidRPr="005C73E4" w:rsidRDefault="00551AB5" w:rsidP="00551AB5">
            <w:pPr>
              <w:rPr>
                <w:rFonts w:cs="Arial"/>
                <w:sz w:val="18"/>
                <w:szCs w:val="18"/>
                <w:lang w:val="en-ZA"/>
              </w:rPr>
            </w:pPr>
            <w:r w:rsidRPr="005C73E4">
              <w:rPr>
                <w:rFonts w:cs="Arial"/>
                <w:sz w:val="18"/>
                <w:szCs w:val="18"/>
              </w:rPr>
              <w:t xml:space="preserve">6. </w:t>
            </w:r>
            <w:r w:rsidRPr="005C73E4">
              <w:rPr>
                <w:rFonts w:cs="Arial"/>
                <w:sz w:val="18"/>
                <w:szCs w:val="18"/>
                <w:lang w:val="en-ZA"/>
              </w:rPr>
              <w:t>Discount rates</w:t>
            </w:r>
          </w:p>
        </w:tc>
      </w:tr>
      <w:tr w:rsidR="00551AB5" w:rsidRPr="00551AB5" w14:paraId="166DFB6F" w14:textId="77777777" w:rsidTr="004674F7">
        <w:trPr>
          <w:trHeight w:val="297"/>
        </w:trPr>
        <w:tc>
          <w:tcPr>
            <w:tcW w:w="4631" w:type="dxa"/>
            <w:hideMark/>
          </w:tcPr>
          <w:p w14:paraId="7DE99059" w14:textId="77777777" w:rsidR="00551AB5" w:rsidRPr="005C73E4" w:rsidRDefault="00551AB5" w:rsidP="00551AB5">
            <w:pPr>
              <w:rPr>
                <w:rFonts w:cs="Arial"/>
                <w:sz w:val="18"/>
                <w:szCs w:val="18"/>
                <w:lang w:val="en-ZA"/>
              </w:rPr>
            </w:pPr>
            <w:r w:rsidRPr="005C73E4">
              <w:rPr>
                <w:rFonts w:cs="Arial"/>
                <w:sz w:val="18"/>
                <w:szCs w:val="18"/>
              </w:rPr>
              <w:t>7. Employee benefits</w:t>
            </w:r>
          </w:p>
        </w:tc>
        <w:tc>
          <w:tcPr>
            <w:tcW w:w="4631" w:type="dxa"/>
            <w:hideMark/>
          </w:tcPr>
          <w:p w14:paraId="04539B00" w14:textId="77777777" w:rsidR="00551AB5" w:rsidRPr="005C73E4" w:rsidRDefault="00551AB5" w:rsidP="00551AB5">
            <w:pPr>
              <w:rPr>
                <w:rFonts w:cs="Arial"/>
                <w:sz w:val="18"/>
                <w:szCs w:val="18"/>
                <w:lang w:val="en-ZA"/>
              </w:rPr>
            </w:pPr>
            <w:r w:rsidRPr="005C73E4">
              <w:rPr>
                <w:rFonts w:cs="Arial"/>
                <w:sz w:val="18"/>
                <w:szCs w:val="18"/>
              </w:rPr>
              <w:t xml:space="preserve">8. </w:t>
            </w:r>
            <w:r w:rsidRPr="005C73E4">
              <w:rPr>
                <w:rFonts w:cs="Arial"/>
                <w:sz w:val="18"/>
                <w:szCs w:val="18"/>
                <w:lang w:val="en-ZA"/>
              </w:rPr>
              <w:t>Expenses—Inventory and cost of sales</w:t>
            </w:r>
          </w:p>
        </w:tc>
      </w:tr>
      <w:tr w:rsidR="00551AB5" w:rsidRPr="00551AB5" w14:paraId="44CB24EC" w14:textId="77777777" w:rsidTr="004674F7">
        <w:trPr>
          <w:trHeight w:val="297"/>
        </w:trPr>
        <w:tc>
          <w:tcPr>
            <w:tcW w:w="4631" w:type="dxa"/>
            <w:hideMark/>
          </w:tcPr>
          <w:p w14:paraId="1453A027" w14:textId="6800AA9E" w:rsidR="00551AB5" w:rsidRPr="005C73E4" w:rsidRDefault="00551AB5" w:rsidP="00551AB5">
            <w:pPr>
              <w:rPr>
                <w:rFonts w:cs="Arial"/>
                <w:sz w:val="18"/>
                <w:szCs w:val="18"/>
                <w:lang w:val="en-ZA"/>
              </w:rPr>
            </w:pPr>
            <w:r w:rsidRPr="005C73E4">
              <w:rPr>
                <w:rFonts w:cs="Arial"/>
                <w:sz w:val="18"/>
                <w:szCs w:val="18"/>
              </w:rPr>
              <w:t>9. Foreign currencies</w:t>
            </w:r>
          </w:p>
        </w:tc>
        <w:tc>
          <w:tcPr>
            <w:tcW w:w="4631" w:type="dxa"/>
            <w:hideMark/>
          </w:tcPr>
          <w:p w14:paraId="6733AEF0" w14:textId="77777777" w:rsidR="00551AB5" w:rsidRPr="005C73E4" w:rsidRDefault="00551AB5" w:rsidP="00551AB5">
            <w:pPr>
              <w:rPr>
                <w:rFonts w:cs="Arial"/>
                <w:sz w:val="18"/>
                <w:szCs w:val="18"/>
                <w:lang w:val="en-ZA"/>
              </w:rPr>
            </w:pPr>
            <w:r w:rsidRPr="005C73E4">
              <w:rPr>
                <w:rFonts w:cs="Arial"/>
                <w:sz w:val="18"/>
                <w:szCs w:val="18"/>
              </w:rPr>
              <w:t>10. Going concern</w:t>
            </w:r>
          </w:p>
        </w:tc>
      </w:tr>
      <w:tr w:rsidR="00551AB5" w:rsidRPr="00551AB5" w14:paraId="0E57D7A5" w14:textId="77777777" w:rsidTr="004674F7">
        <w:trPr>
          <w:trHeight w:val="297"/>
        </w:trPr>
        <w:tc>
          <w:tcPr>
            <w:tcW w:w="4631" w:type="dxa"/>
            <w:hideMark/>
          </w:tcPr>
          <w:p w14:paraId="4054559D" w14:textId="77777777" w:rsidR="00551AB5" w:rsidRPr="005C73E4" w:rsidRDefault="00551AB5" w:rsidP="00551AB5">
            <w:pPr>
              <w:rPr>
                <w:rFonts w:cs="Arial"/>
                <w:sz w:val="18"/>
                <w:szCs w:val="18"/>
                <w:lang w:val="en-ZA"/>
              </w:rPr>
            </w:pPr>
            <w:r w:rsidRPr="005C73E4">
              <w:rPr>
                <w:rFonts w:cs="Arial"/>
                <w:sz w:val="18"/>
                <w:szCs w:val="18"/>
              </w:rPr>
              <w:t xml:space="preserve">11. Government grants </w:t>
            </w:r>
          </w:p>
        </w:tc>
        <w:tc>
          <w:tcPr>
            <w:tcW w:w="4631" w:type="dxa"/>
            <w:hideMark/>
          </w:tcPr>
          <w:p w14:paraId="7E6546BE" w14:textId="77777777" w:rsidR="00551AB5" w:rsidRPr="005C73E4" w:rsidRDefault="00551AB5" w:rsidP="00551AB5">
            <w:pPr>
              <w:rPr>
                <w:rFonts w:cs="Arial"/>
                <w:sz w:val="18"/>
                <w:szCs w:val="18"/>
                <w:lang w:val="en-ZA"/>
              </w:rPr>
            </w:pPr>
            <w:r w:rsidRPr="005C73E4">
              <w:rPr>
                <w:rFonts w:cs="Arial"/>
                <w:sz w:val="18"/>
                <w:szCs w:val="18"/>
              </w:rPr>
              <w:t xml:space="preserve">12. Income taxes </w:t>
            </w:r>
          </w:p>
        </w:tc>
      </w:tr>
      <w:tr w:rsidR="00551AB5" w:rsidRPr="00551AB5" w14:paraId="579D4F72" w14:textId="77777777" w:rsidTr="004674F7">
        <w:trPr>
          <w:trHeight w:val="297"/>
        </w:trPr>
        <w:tc>
          <w:tcPr>
            <w:tcW w:w="4631" w:type="dxa"/>
            <w:hideMark/>
          </w:tcPr>
          <w:p w14:paraId="5AF888B7" w14:textId="34080379" w:rsidR="00551AB5" w:rsidRPr="005C73E4" w:rsidRDefault="00551AB5" w:rsidP="00551AB5">
            <w:pPr>
              <w:rPr>
                <w:rFonts w:cs="Arial"/>
                <w:sz w:val="18"/>
                <w:szCs w:val="18"/>
                <w:lang w:val="en-ZA"/>
              </w:rPr>
            </w:pPr>
            <w:r w:rsidRPr="005C73E4">
              <w:rPr>
                <w:rFonts w:cs="Arial"/>
                <w:sz w:val="18"/>
                <w:szCs w:val="18"/>
              </w:rPr>
              <w:lastRenderedPageBreak/>
              <w:t>13. Inflation*</w:t>
            </w:r>
          </w:p>
        </w:tc>
        <w:tc>
          <w:tcPr>
            <w:tcW w:w="4631" w:type="dxa"/>
            <w:hideMark/>
          </w:tcPr>
          <w:p w14:paraId="0BA1C207" w14:textId="77777777" w:rsidR="00551AB5" w:rsidRPr="005C73E4" w:rsidRDefault="00551AB5" w:rsidP="00551AB5">
            <w:pPr>
              <w:rPr>
                <w:rFonts w:cs="Arial"/>
                <w:sz w:val="18"/>
                <w:szCs w:val="18"/>
                <w:lang w:val="en-ZA"/>
              </w:rPr>
            </w:pPr>
            <w:r w:rsidRPr="005C73E4">
              <w:rPr>
                <w:rFonts w:cs="Arial"/>
                <w:sz w:val="18"/>
                <w:szCs w:val="18"/>
              </w:rPr>
              <w:t xml:space="preserve">14. Intangible assts </w:t>
            </w:r>
          </w:p>
        </w:tc>
      </w:tr>
      <w:tr w:rsidR="00551AB5" w:rsidRPr="00551AB5" w14:paraId="1EF3DFB1" w14:textId="77777777" w:rsidTr="004674F7">
        <w:trPr>
          <w:trHeight w:val="297"/>
        </w:trPr>
        <w:tc>
          <w:tcPr>
            <w:tcW w:w="4631" w:type="dxa"/>
            <w:hideMark/>
          </w:tcPr>
          <w:p w14:paraId="48FDBE80" w14:textId="2F3C203D" w:rsidR="00551AB5" w:rsidRPr="005C73E4" w:rsidRDefault="00551AB5" w:rsidP="00551AB5">
            <w:pPr>
              <w:rPr>
                <w:rFonts w:cs="Arial"/>
                <w:sz w:val="18"/>
                <w:szCs w:val="18"/>
                <w:lang w:val="en-ZA"/>
              </w:rPr>
            </w:pPr>
            <w:r w:rsidRPr="005C73E4">
              <w:rPr>
                <w:rFonts w:cs="Arial"/>
                <w:sz w:val="18"/>
                <w:szCs w:val="18"/>
              </w:rPr>
              <w:t xml:space="preserve">15. Interim financial reporting </w:t>
            </w:r>
          </w:p>
        </w:tc>
        <w:tc>
          <w:tcPr>
            <w:tcW w:w="4631" w:type="dxa"/>
            <w:hideMark/>
          </w:tcPr>
          <w:p w14:paraId="49821887" w14:textId="77777777" w:rsidR="00551AB5" w:rsidRPr="005C73E4" w:rsidRDefault="00551AB5" w:rsidP="00551AB5">
            <w:pPr>
              <w:rPr>
                <w:rFonts w:cs="Arial"/>
                <w:sz w:val="18"/>
                <w:szCs w:val="18"/>
                <w:lang w:val="en-ZA"/>
              </w:rPr>
            </w:pPr>
            <w:r w:rsidRPr="005C73E4">
              <w:rPr>
                <w:rFonts w:cs="Arial"/>
                <w:sz w:val="18"/>
                <w:szCs w:val="18"/>
              </w:rPr>
              <w:t xml:space="preserve">16. Negative interest rates </w:t>
            </w:r>
          </w:p>
        </w:tc>
      </w:tr>
      <w:tr w:rsidR="00551AB5" w:rsidRPr="00551AB5" w14:paraId="1B196EE9" w14:textId="77777777" w:rsidTr="004674F7">
        <w:trPr>
          <w:trHeight w:val="297"/>
        </w:trPr>
        <w:tc>
          <w:tcPr>
            <w:tcW w:w="4631" w:type="dxa"/>
            <w:hideMark/>
          </w:tcPr>
          <w:p w14:paraId="0CD94B51" w14:textId="1FB9A991" w:rsidR="00551AB5" w:rsidRPr="005C73E4" w:rsidRDefault="00551AB5" w:rsidP="00551AB5">
            <w:pPr>
              <w:rPr>
                <w:rFonts w:cs="Arial"/>
                <w:sz w:val="18"/>
                <w:szCs w:val="18"/>
                <w:lang w:val="en-ZA"/>
              </w:rPr>
            </w:pPr>
            <w:r w:rsidRPr="005C73E4">
              <w:rPr>
                <w:rFonts w:cs="Arial"/>
                <w:sz w:val="18"/>
                <w:szCs w:val="18"/>
              </w:rPr>
              <w:t xml:space="preserve">17. Operating segments </w:t>
            </w:r>
          </w:p>
        </w:tc>
        <w:tc>
          <w:tcPr>
            <w:tcW w:w="4631" w:type="dxa"/>
            <w:hideMark/>
          </w:tcPr>
          <w:p w14:paraId="072B16E1" w14:textId="77777777" w:rsidR="00551AB5" w:rsidRPr="005C73E4" w:rsidRDefault="00551AB5" w:rsidP="00551AB5">
            <w:pPr>
              <w:rPr>
                <w:rFonts w:cs="Arial"/>
                <w:sz w:val="18"/>
                <w:szCs w:val="18"/>
                <w:lang w:val="en-ZA"/>
              </w:rPr>
            </w:pPr>
            <w:r w:rsidRPr="005C73E4">
              <w:rPr>
                <w:rFonts w:cs="Arial"/>
                <w:sz w:val="18"/>
                <w:szCs w:val="18"/>
              </w:rPr>
              <w:t xml:space="preserve">18. Other comprehensive income </w:t>
            </w:r>
          </w:p>
        </w:tc>
      </w:tr>
      <w:tr w:rsidR="00551AB5" w:rsidRPr="00551AB5" w14:paraId="7EDC1115" w14:textId="77777777" w:rsidTr="004674F7">
        <w:trPr>
          <w:trHeight w:val="297"/>
        </w:trPr>
        <w:tc>
          <w:tcPr>
            <w:tcW w:w="4631" w:type="dxa"/>
            <w:hideMark/>
          </w:tcPr>
          <w:p w14:paraId="39C0AAD3" w14:textId="35F71BF7" w:rsidR="00551AB5" w:rsidRPr="005C73E4" w:rsidRDefault="00551AB5" w:rsidP="00551AB5">
            <w:pPr>
              <w:rPr>
                <w:rFonts w:cs="Arial"/>
                <w:sz w:val="18"/>
                <w:szCs w:val="18"/>
                <w:lang w:val="en-ZA"/>
              </w:rPr>
            </w:pPr>
            <w:r w:rsidRPr="005C73E4">
              <w:rPr>
                <w:rFonts w:cs="Arial"/>
                <w:sz w:val="18"/>
                <w:szCs w:val="18"/>
              </w:rPr>
              <w:t xml:space="preserve">19. </w:t>
            </w:r>
            <w:r w:rsidRPr="005C73E4">
              <w:rPr>
                <w:rFonts w:cs="Arial"/>
                <w:sz w:val="18"/>
                <w:szCs w:val="18"/>
                <w:lang w:val="en-ZA"/>
              </w:rPr>
              <w:t>Pollutant pricing mechanisms*</w:t>
            </w:r>
          </w:p>
        </w:tc>
        <w:tc>
          <w:tcPr>
            <w:tcW w:w="4631" w:type="dxa"/>
            <w:hideMark/>
          </w:tcPr>
          <w:p w14:paraId="2F6633C0" w14:textId="22777DDA" w:rsidR="00551AB5" w:rsidRPr="005C73E4" w:rsidRDefault="00551AB5" w:rsidP="00551AB5">
            <w:pPr>
              <w:rPr>
                <w:rFonts w:cs="Arial"/>
                <w:sz w:val="18"/>
                <w:szCs w:val="18"/>
                <w:lang w:val="en-ZA"/>
              </w:rPr>
            </w:pPr>
            <w:r w:rsidRPr="005C73E4">
              <w:rPr>
                <w:rFonts w:cs="Arial"/>
                <w:sz w:val="18"/>
                <w:szCs w:val="18"/>
              </w:rPr>
              <w:t>20.</w:t>
            </w:r>
            <w:r w:rsidRPr="005C73E4">
              <w:rPr>
                <w:rFonts w:cs="Arial"/>
                <w:sz w:val="18"/>
                <w:szCs w:val="18"/>
                <w:lang w:val="en-ZA"/>
              </w:rPr>
              <w:t xml:space="preserve"> Separate financial statements</w:t>
            </w:r>
          </w:p>
        </w:tc>
      </w:tr>
      <w:tr w:rsidR="00551AB5" w:rsidRPr="00551AB5" w14:paraId="7E89EA39" w14:textId="77777777" w:rsidTr="004674F7">
        <w:trPr>
          <w:trHeight w:val="297"/>
        </w:trPr>
        <w:tc>
          <w:tcPr>
            <w:tcW w:w="4631" w:type="dxa"/>
            <w:hideMark/>
          </w:tcPr>
          <w:p w14:paraId="5B8845A4" w14:textId="682F1347" w:rsidR="00551AB5" w:rsidRPr="005C73E4" w:rsidRDefault="00551AB5" w:rsidP="00551AB5">
            <w:pPr>
              <w:rPr>
                <w:rFonts w:cs="Arial"/>
                <w:sz w:val="18"/>
                <w:szCs w:val="18"/>
                <w:lang w:val="en-ZA"/>
              </w:rPr>
            </w:pPr>
            <w:r w:rsidRPr="005C73E4">
              <w:rPr>
                <w:rFonts w:cs="Arial"/>
                <w:sz w:val="18"/>
                <w:szCs w:val="18"/>
              </w:rPr>
              <w:t xml:space="preserve">21. Statement of cash flows and </w:t>
            </w:r>
            <w:r w:rsidRPr="005C73E4">
              <w:rPr>
                <w:rFonts w:cs="Arial"/>
                <w:sz w:val="18"/>
                <w:szCs w:val="18"/>
                <w:lang w:val="en-ZA"/>
              </w:rPr>
              <w:t>related matters</w:t>
            </w:r>
          </w:p>
        </w:tc>
        <w:tc>
          <w:tcPr>
            <w:tcW w:w="4631" w:type="dxa"/>
            <w:hideMark/>
          </w:tcPr>
          <w:p w14:paraId="15E49DE4" w14:textId="44BB9D4B" w:rsidR="00551AB5" w:rsidRPr="005C73E4" w:rsidRDefault="00551AB5" w:rsidP="00551AB5">
            <w:pPr>
              <w:rPr>
                <w:rFonts w:cs="Arial"/>
                <w:sz w:val="18"/>
                <w:szCs w:val="18"/>
                <w:lang w:val="en-ZA"/>
              </w:rPr>
            </w:pPr>
            <w:r w:rsidRPr="005C73E4">
              <w:rPr>
                <w:rFonts w:cs="Arial"/>
                <w:sz w:val="18"/>
                <w:szCs w:val="18"/>
              </w:rPr>
              <w:t xml:space="preserve">22. </w:t>
            </w:r>
            <w:r w:rsidRPr="005C73E4">
              <w:rPr>
                <w:rFonts w:cs="Arial"/>
                <w:sz w:val="18"/>
                <w:szCs w:val="18"/>
                <w:lang w:val="en-ZA"/>
              </w:rPr>
              <w:t>Variable and contingent consideration*</w:t>
            </w:r>
          </w:p>
        </w:tc>
      </w:tr>
    </w:tbl>
    <w:p w14:paraId="3F8527A1" w14:textId="724E12AB" w:rsidR="005A3D59" w:rsidRDefault="005A3D59" w:rsidP="00B65317">
      <w:pPr>
        <w:rPr>
          <w:rFonts w:cs="Arial"/>
          <w:sz w:val="24"/>
          <w:szCs w:val="24"/>
          <w:lang w:val="en-GB"/>
        </w:rPr>
      </w:pPr>
    </w:p>
    <w:p w14:paraId="0EFD5E51" w14:textId="48B272FC" w:rsidR="00A32FE5" w:rsidRDefault="00A32FE5" w:rsidP="00A32FE5">
      <w:pPr>
        <w:tabs>
          <w:tab w:val="num" w:pos="1440"/>
        </w:tabs>
        <w:rPr>
          <w:rFonts w:cs="Arial"/>
          <w:sz w:val="20"/>
          <w:lang w:val="en-GB"/>
        </w:rPr>
      </w:pPr>
      <w:r w:rsidRPr="00A32FE5">
        <w:rPr>
          <w:rFonts w:cs="Arial"/>
          <w:sz w:val="20"/>
          <w:lang w:val="en-GB"/>
        </w:rPr>
        <w:t>A brief description of each project and its potential size is provided in Appendix 1.</w:t>
      </w:r>
    </w:p>
    <w:p w14:paraId="00F200F2" w14:textId="77777777" w:rsidR="00A32FE5" w:rsidRPr="00A32FE5" w:rsidRDefault="00A32FE5" w:rsidP="00A32FE5">
      <w:pPr>
        <w:tabs>
          <w:tab w:val="num" w:pos="1440"/>
        </w:tabs>
        <w:rPr>
          <w:rFonts w:cs="Arial"/>
          <w:sz w:val="20"/>
          <w:lang w:val="en-GB"/>
        </w:rPr>
      </w:pPr>
    </w:p>
    <w:p w14:paraId="05F6FCB7" w14:textId="02139E0F" w:rsidR="00FA136B" w:rsidRDefault="00FA136B" w:rsidP="00A32FE5">
      <w:pPr>
        <w:rPr>
          <w:rFonts w:cs="Arial"/>
          <w:sz w:val="20"/>
          <w:lang w:val="en-GB"/>
        </w:rPr>
      </w:pPr>
      <w:r w:rsidRPr="00FA136B">
        <w:rPr>
          <w:rFonts w:cs="Arial"/>
          <w:sz w:val="20"/>
          <w:lang w:val="en-GB"/>
        </w:rPr>
        <w:t xml:space="preserve">Each project contains a variety of solutions to address the </w:t>
      </w:r>
      <w:r w:rsidR="004674F7">
        <w:rPr>
          <w:rFonts w:cs="Arial"/>
          <w:sz w:val="20"/>
          <w:lang w:val="en-GB"/>
        </w:rPr>
        <w:t>issues raised by stakeholders. These are</w:t>
      </w:r>
      <w:r w:rsidRPr="00FA136B">
        <w:rPr>
          <w:rFonts w:cs="Arial"/>
          <w:sz w:val="20"/>
          <w:lang w:val="en-GB"/>
        </w:rPr>
        <w:t xml:space="preserve"> split </w:t>
      </w:r>
      <w:r w:rsidR="004674F7">
        <w:rPr>
          <w:rFonts w:cs="Arial"/>
          <w:sz w:val="20"/>
          <w:lang w:val="en-GB"/>
        </w:rPr>
        <w:t xml:space="preserve">by size </w:t>
      </w:r>
      <w:r w:rsidRPr="00FA136B">
        <w:rPr>
          <w:rFonts w:cs="Arial"/>
          <w:sz w:val="20"/>
          <w:lang w:val="en-GB"/>
        </w:rPr>
        <w:t xml:space="preserve">into large, </w:t>
      </w:r>
      <w:r w:rsidR="00865FB6" w:rsidRPr="00FA136B">
        <w:rPr>
          <w:rFonts w:cs="Arial"/>
          <w:sz w:val="20"/>
          <w:lang w:val="en-GB"/>
        </w:rPr>
        <w:t>medium,</w:t>
      </w:r>
      <w:r w:rsidRPr="00FA136B">
        <w:rPr>
          <w:rFonts w:cs="Arial"/>
          <w:sz w:val="20"/>
          <w:lang w:val="en-GB"/>
        </w:rPr>
        <w:t xml:space="preserve"> and small projects. </w:t>
      </w:r>
    </w:p>
    <w:p w14:paraId="45A369C9" w14:textId="291E10AD" w:rsidR="00161AEC" w:rsidRDefault="00161AEC" w:rsidP="00A32FE5">
      <w:pPr>
        <w:rPr>
          <w:rFonts w:cs="Arial"/>
          <w:sz w:val="20"/>
          <w:lang w:val="en-GB"/>
        </w:rPr>
      </w:pPr>
    </w:p>
    <w:p w14:paraId="0172805D" w14:textId="65D542C1" w:rsidR="00161AEC" w:rsidRDefault="00161AEC" w:rsidP="00A32FE5">
      <w:pPr>
        <w:rPr>
          <w:rFonts w:cs="Arial"/>
          <w:sz w:val="20"/>
          <w:lang w:val="en-GB"/>
        </w:rPr>
      </w:pPr>
      <w:r>
        <w:rPr>
          <w:rFonts w:cs="Arial"/>
          <w:sz w:val="20"/>
          <w:lang w:val="en-GB"/>
        </w:rPr>
        <w:t>In its next work cycle, IASB expects to start:</w:t>
      </w:r>
    </w:p>
    <w:p w14:paraId="416EC340" w14:textId="77777777" w:rsidR="00161AEC" w:rsidRPr="00FA136B" w:rsidRDefault="00161AEC" w:rsidP="00A32FE5">
      <w:pPr>
        <w:rPr>
          <w:rFonts w:cs="Arial"/>
          <w:sz w:val="20"/>
          <w:lang w:val="en-GB"/>
        </w:rPr>
      </w:pPr>
    </w:p>
    <w:p w14:paraId="6F49A330" w14:textId="77777777" w:rsidR="00FA136B" w:rsidRPr="00FA136B" w:rsidRDefault="00FA136B" w:rsidP="005925A7">
      <w:pPr>
        <w:numPr>
          <w:ilvl w:val="0"/>
          <w:numId w:val="17"/>
        </w:numPr>
        <w:tabs>
          <w:tab w:val="num" w:pos="1440"/>
        </w:tabs>
        <w:rPr>
          <w:rFonts w:cs="Arial"/>
          <w:sz w:val="20"/>
          <w:lang w:val="en-GB"/>
        </w:rPr>
      </w:pPr>
      <w:r w:rsidRPr="00FA136B">
        <w:rPr>
          <w:rFonts w:cs="Arial"/>
          <w:sz w:val="20"/>
          <w:lang w:val="en-GB"/>
        </w:rPr>
        <w:t xml:space="preserve">2 - 3 three large projects; or </w:t>
      </w:r>
    </w:p>
    <w:p w14:paraId="770656CE" w14:textId="77777777" w:rsidR="00FA136B" w:rsidRPr="00FA136B" w:rsidRDefault="00FA136B" w:rsidP="005925A7">
      <w:pPr>
        <w:numPr>
          <w:ilvl w:val="0"/>
          <w:numId w:val="17"/>
        </w:numPr>
        <w:tabs>
          <w:tab w:val="num" w:pos="1440"/>
        </w:tabs>
        <w:rPr>
          <w:rFonts w:cs="Arial"/>
          <w:sz w:val="20"/>
          <w:lang w:val="en-GB"/>
        </w:rPr>
      </w:pPr>
      <w:r w:rsidRPr="00FA136B">
        <w:rPr>
          <w:rFonts w:cs="Arial"/>
          <w:sz w:val="20"/>
          <w:lang w:val="en-GB"/>
        </w:rPr>
        <w:t xml:space="preserve">4 - 5 medium-sized projects; or </w:t>
      </w:r>
    </w:p>
    <w:p w14:paraId="493D0C1B" w14:textId="77777777" w:rsidR="00FA136B" w:rsidRPr="00FA136B" w:rsidRDefault="00FA136B" w:rsidP="005925A7">
      <w:pPr>
        <w:numPr>
          <w:ilvl w:val="0"/>
          <w:numId w:val="17"/>
        </w:numPr>
        <w:tabs>
          <w:tab w:val="num" w:pos="1440"/>
        </w:tabs>
        <w:rPr>
          <w:rFonts w:cs="Arial"/>
          <w:sz w:val="20"/>
          <w:lang w:val="en-GB"/>
        </w:rPr>
      </w:pPr>
      <w:r w:rsidRPr="00FA136B">
        <w:rPr>
          <w:rFonts w:cs="Arial"/>
          <w:sz w:val="20"/>
          <w:lang w:val="en-GB"/>
        </w:rPr>
        <w:t xml:space="preserve">7 - 8 small projects; or </w:t>
      </w:r>
    </w:p>
    <w:p w14:paraId="4606379B" w14:textId="788CCBE7" w:rsidR="004674F7" w:rsidRDefault="00FA136B" w:rsidP="005925A7">
      <w:pPr>
        <w:numPr>
          <w:ilvl w:val="0"/>
          <w:numId w:val="17"/>
        </w:numPr>
        <w:tabs>
          <w:tab w:val="num" w:pos="1440"/>
        </w:tabs>
        <w:rPr>
          <w:rFonts w:cs="Arial"/>
          <w:sz w:val="20"/>
          <w:lang w:val="en-GB"/>
        </w:rPr>
      </w:pPr>
      <w:r w:rsidRPr="00FA136B">
        <w:rPr>
          <w:rFonts w:cs="Arial"/>
          <w:sz w:val="20"/>
          <w:lang w:val="en-GB"/>
        </w:rPr>
        <w:t xml:space="preserve">An equivalent combination of large, </w:t>
      </w:r>
      <w:r w:rsidR="00865FB6" w:rsidRPr="00FA136B">
        <w:rPr>
          <w:rFonts w:cs="Arial"/>
          <w:sz w:val="20"/>
          <w:lang w:val="en-GB"/>
        </w:rPr>
        <w:t>medium,</w:t>
      </w:r>
      <w:r w:rsidRPr="00FA136B">
        <w:rPr>
          <w:rFonts w:cs="Arial"/>
          <w:sz w:val="20"/>
          <w:lang w:val="en-GB"/>
        </w:rPr>
        <w:t xml:space="preserve"> and small projects</w:t>
      </w:r>
      <w:r w:rsidR="004674F7">
        <w:rPr>
          <w:rFonts w:cs="Arial"/>
          <w:sz w:val="20"/>
          <w:lang w:val="en-GB"/>
        </w:rPr>
        <w:t>.</w:t>
      </w:r>
    </w:p>
    <w:p w14:paraId="4C774BE3" w14:textId="6942BC3B" w:rsidR="007C794E" w:rsidRDefault="007C794E" w:rsidP="00E66EB2">
      <w:pPr>
        <w:tabs>
          <w:tab w:val="num" w:pos="1440"/>
        </w:tabs>
        <w:rPr>
          <w:rFonts w:cs="Arial"/>
          <w:sz w:val="20"/>
          <w:lang w:val="en-GB"/>
        </w:rPr>
      </w:pPr>
    </w:p>
    <w:p w14:paraId="18E0EB21" w14:textId="77777777" w:rsidR="002F6144" w:rsidRPr="00660CF7" w:rsidRDefault="002F6144" w:rsidP="002F6144">
      <w:pPr>
        <w:rPr>
          <w:rFonts w:cs="Arial"/>
          <w:sz w:val="24"/>
          <w:szCs w:val="24"/>
          <w:lang w:val="en-GB"/>
        </w:rPr>
      </w:pPr>
    </w:p>
    <w:p w14:paraId="4AAB5540" w14:textId="15896307" w:rsidR="00802C79" w:rsidRPr="00660CF7" w:rsidRDefault="00356075" w:rsidP="005925A7">
      <w:pPr>
        <w:pStyle w:val="ListParagraph"/>
        <w:numPr>
          <w:ilvl w:val="0"/>
          <w:numId w:val="18"/>
        </w:numPr>
        <w:rPr>
          <w:rFonts w:ascii="Addington CF Thin" w:hAnsi="Addington CF Thin"/>
          <w:b/>
          <w:bCs/>
          <w:color w:val="auto"/>
          <w:sz w:val="24"/>
          <w:szCs w:val="24"/>
        </w:rPr>
      </w:pPr>
      <w:r w:rsidRPr="00660CF7">
        <w:rPr>
          <w:rFonts w:ascii="Addington CF Thin" w:hAnsi="Addington CF Thin"/>
          <w:b/>
          <w:bCs/>
          <w:color w:val="auto"/>
          <w:sz w:val="24"/>
          <w:szCs w:val="24"/>
        </w:rPr>
        <w:t>Current IASB workplan</w:t>
      </w:r>
    </w:p>
    <w:p w14:paraId="78DB699F" w14:textId="77777777" w:rsidR="00356075" w:rsidRPr="00356075" w:rsidRDefault="00356075" w:rsidP="00EB5BE1">
      <w:pPr>
        <w:rPr>
          <w:rFonts w:ascii="Addington CF Thin" w:hAnsi="Addington CF Thin"/>
          <w:b/>
          <w:bCs/>
          <w:color w:val="auto"/>
          <w:sz w:val="20"/>
        </w:rPr>
      </w:pPr>
    </w:p>
    <w:p w14:paraId="0F72AAB9" w14:textId="6C541A3C" w:rsidR="00356075" w:rsidRPr="008B0A6C" w:rsidRDefault="00356075" w:rsidP="00161AEC">
      <w:pPr>
        <w:rPr>
          <w:rFonts w:cs="Arial"/>
          <w:sz w:val="20"/>
          <w:lang w:val="en-ZA"/>
        </w:rPr>
      </w:pPr>
      <w:r w:rsidRPr="00FA136B">
        <w:rPr>
          <w:rFonts w:cs="Arial"/>
          <w:sz w:val="20"/>
          <w:lang w:val="en-GB"/>
        </w:rPr>
        <w:t xml:space="preserve">The IASB </w:t>
      </w:r>
      <w:r w:rsidR="00531118">
        <w:rPr>
          <w:rFonts w:cs="Arial"/>
          <w:sz w:val="20"/>
          <w:lang w:val="en-GB"/>
        </w:rPr>
        <w:t>currently ha</w:t>
      </w:r>
      <w:r w:rsidR="003C7BBE">
        <w:rPr>
          <w:rFonts w:cs="Arial"/>
          <w:sz w:val="20"/>
          <w:lang w:val="en-GB"/>
        </w:rPr>
        <w:t>s</w:t>
      </w:r>
      <w:r w:rsidR="00531118">
        <w:rPr>
          <w:rFonts w:cs="Arial"/>
          <w:sz w:val="20"/>
          <w:lang w:val="en-GB"/>
        </w:rPr>
        <w:t xml:space="preserve"> 20 projects on its current workplan</w:t>
      </w:r>
      <w:r w:rsidR="003C7BBE">
        <w:rPr>
          <w:rFonts w:cs="Arial"/>
          <w:sz w:val="20"/>
          <w:lang w:val="en-GB"/>
        </w:rPr>
        <w:t>. These are listed below:</w:t>
      </w:r>
    </w:p>
    <w:p w14:paraId="160E4F72" w14:textId="3E0A8E9F" w:rsidR="008B0A6C" w:rsidRDefault="008B0A6C" w:rsidP="008B0A6C">
      <w:pPr>
        <w:rPr>
          <w:rFonts w:cs="Arial"/>
          <w:sz w:val="20"/>
        </w:rPr>
      </w:pPr>
    </w:p>
    <w:tbl>
      <w:tblPr>
        <w:tblStyle w:val="GridTable1Light"/>
        <w:tblW w:w="9080" w:type="dxa"/>
        <w:tblLook w:val="0420" w:firstRow="1" w:lastRow="0" w:firstColumn="0" w:lastColumn="0" w:noHBand="0" w:noVBand="1"/>
      </w:tblPr>
      <w:tblGrid>
        <w:gridCol w:w="4405"/>
        <w:gridCol w:w="4675"/>
      </w:tblGrid>
      <w:tr w:rsidR="00F529E0" w:rsidRPr="00F529E0" w14:paraId="66F38FFC" w14:textId="77777777" w:rsidTr="00F529E0">
        <w:trPr>
          <w:cnfStyle w:val="100000000000" w:firstRow="1" w:lastRow="0" w:firstColumn="0" w:lastColumn="0" w:oddVBand="0" w:evenVBand="0" w:oddHBand="0" w:evenHBand="0" w:firstRowFirstColumn="0" w:firstRowLastColumn="0" w:lastRowFirstColumn="0" w:lastRowLastColumn="0"/>
          <w:trHeight w:val="368"/>
        </w:trPr>
        <w:tc>
          <w:tcPr>
            <w:tcW w:w="9080" w:type="dxa"/>
            <w:gridSpan w:val="2"/>
            <w:shd w:val="clear" w:color="auto" w:fill="54CFBF" w:themeFill="accent2"/>
          </w:tcPr>
          <w:p w14:paraId="57B8C893" w14:textId="799589C4" w:rsidR="00F529E0" w:rsidRPr="00F529E0" w:rsidRDefault="00F529E0" w:rsidP="00F529E0">
            <w:pPr>
              <w:jc w:val="center"/>
              <w:rPr>
                <w:rFonts w:cs="Arial"/>
                <w:sz w:val="18"/>
                <w:szCs w:val="18"/>
              </w:rPr>
            </w:pPr>
            <w:r>
              <w:rPr>
                <w:rFonts w:cs="Arial"/>
                <w:sz w:val="18"/>
                <w:szCs w:val="18"/>
              </w:rPr>
              <w:t>IASB Project title</w:t>
            </w:r>
          </w:p>
        </w:tc>
      </w:tr>
      <w:tr w:rsidR="00F529E0" w:rsidRPr="00F529E0" w14:paraId="244248D7" w14:textId="77777777" w:rsidTr="00F529E0">
        <w:trPr>
          <w:trHeight w:val="699"/>
        </w:trPr>
        <w:tc>
          <w:tcPr>
            <w:tcW w:w="4405" w:type="dxa"/>
            <w:hideMark/>
          </w:tcPr>
          <w:p w14:paraId="03D80BF9" w14:textId="77777777" w:rsidR="00F529E0" w:rsidRPr="00F529E0" w:rsidRDefault="00F529E0" w:rsidP="00F529E0">
            <w:pPr>
              <w:rPr>
                <w:rFonts w:cs="Arial"/>
                <w:sz w:val="18"/>
                <w:szCs w:val="18"/>
                <w:lang w:val="en-ZA"/>
              </w:rPr>
            </w:pPr>
            <w:r w:rsidRPr="00F529E0">
              <w:rPr>
                <w:rFonts w:cs="Arial"/>
                <w:sz w:val="18"/>
                <w:szCs w:val="18"/>
              </w:rPr>
              <w:t>1. Disclosure Initiative—Targeted Standards-level Review of Disclosures</w:t>
            </w:r>
          </w:p>
        </w:tc>
        <w:tc>
          <w:tcPr>
            <w:tcW w:w="4675" w:type="dxa"/>
            <w:hideMark/>
          </w:tcPr>
          <w:p w14:paraId="12500E53" w14:textId="77777777" w:rsidR="00F529E0" w:rsidRPr="00F529E0" w:rsidRDefault="00F529E0" w:rsidP="00F529E0">
            <w:pPr>
              <w:rPr>
                <w:rFonts w:cs="Arial"/>
                <w:sz w:val="18"/>
                <w:szCs w:val="18"/>
                <w:lang w:val="en-ZA"/>
              </w:rPr>
            </w:pPr>
            <w:r w:rsidRPr="00F529E0">
              <w:rPr>
                <w:rFonts w:cs="Arial"/>
                <w:sz w:val="18"/>
                <w:szCs w:val="18"/>
              </w:rPr>
              <w:t>11. Deferred Tax related to Assets and Liabilities arising from a Single Transaction (Amendments to IAS 12)</w:t>
            </w:r>
          </w:p>
        </w:tc>
      </w:tr>
      <w:tr w:rsidR="00F529E0" w:rsidRPr="00F529E0" w14:paraId="71B4BCE7" w14:textId="77777777" w:rsidTr="00F529E0">
        <w:trPr>
          <w:trHeight w:val="485"/>
        </w:trPr>
        <w:tc>
          <w:tcPr>
            <w:tcW w:w="4405" w:type="dxa"/>
            <w:hideMark/>
          </w:tcPr>
          <w:p w14:paraId="1DF12CE9" w14:textId="77777777" w:rsidR="00F529E0" w:rsidRPr="00F529E0" w:rsidRDefault="00F529E0" w:rsidP="00F529E0">
            <w:pPr>
              <w:rPr>
                <w:rFonts w:cs="Arial"/>
                <w:sz w:val="18"/>
                <w:szCs w:val="18"/>
                <w:lang w:val="en-ZA"/>
              </w:rPr>
            </w:pPr>
            <w:r w:rsidRPr="00F529E0">
              <w:rPr>
                <w:rFonts w:cs="Arial"/>
                <w:sz w:val="18"/>
                <w:szCs w:val="18"/>
              </w:rPr>
              <w:t>2. Post-implementation Review of IFRS 9—Classification and Measurement</w:t>
            </w:r>
          </w:p>
        </w:tc>
        <w:tc>
          <w:tcPr>
            <w:tcW w:w="4675" w:type="dxa"/>
            <w:hideMark/>
          </w:tcPr>
          <w:p w14:paraId="4854A117" w14:textId="77777777" w:rsidR="00F529E0" w:rsidRPr="00F529E0" w:rsidRDefault="00F529E0" w:rsidP="00F529E0">
            <w:pPr>
              <w:rPr>
                <w:rFonts w:cs="Arial"/>
                <w:sz w:val="18"/>
                <w:szCs w:val="18"/>
                <w:lang w:val="en-ZA"/>
              </w:rPr>
            </w:pPr>
            <w:r w:rsidRPr="00F529E0">
              <w:rPr>
                <w:rFonts w:cs="Arial"/>
                <w:sz w:val="18"/>
                <w:szCs w:val="18"/>
              </w:rPr>
              <w:t>12. Second Comprehensive Review of the IFRS for SMEs Standard</w:t>
            </w:r>
          </w:p>
        </w:tc>
      </w:tr>
      <w:tr w:rsidR="00F529E0" w:rsidRPr="00F529E0" w14:paraId="5B3C9810" w14:textId="77777777" w:rsidTr="00F529E0">
        <w:trPr>
          <w:trHeight w:val="260"/>
        </w:trPr>
        <w:tc>
          <w:tcPr>
            <w:tcW w:w="4405" w:type="dxa"/>
            <w:hideMark/>
          </w:tcPr>
          <w:p w14:paraId="3DBFEA0C" w14:textId="77777777" w:rsidR="00F529E0" w:rsidRPr="00F529E0" w:rsidRDefault="00F529E0" w:rsidP="00F529E0">
            <w:pPr>
              <w:rPr>
                <w:rFonts w:cs="Arial"/>
                <w:sz w:val="18"/>
                <w:szCs w:val="18"/>
                <w:lang w:val="en-ZA"/>
              </w:rPr>
            </w:pPr>
            <w:r w:rsidRPr="00F529E0">
              <w:rPr>
                <w:rFonts w:cs="Arial"/>
                <w:sz w:val="18"/>
                <w:szCs w:val="18"/>
                <w:lang w:val="en-ZA"/>
              </w:rPr>
              <w:t>3. Goodwill and Impairment</w:t>
            </w:r>
          </w:p>
        </w:tc>
        <w:tc>
          <w:tcPr>
            <w:tcW w:w="4675" w:type="dxa"/>
            <w:hideMark/>
          </w:tcPr>
          <w:p w14:paraId="06829937" w14:textId="77777777" w:rsidR="00F529E0" w:rsidRPr="00F529E0" w:rsidRDefault="00F529E0" w:rsidP="00F529E0">
            <w:pPr>
              <w:rPr>
                <w:rFonts w:cs="Arial"/>
                <w:sz w:val="18"/>
                <w:szCs w:val="18"/>
                <w:lang w:val="en-ZA"/>
              </w:rPr>
            </w:pPr>
            <w:r w:rsidRPr="00F529E0">
              <w:rPr>
                <w:rFonts w:cs="Arial"/>
                <w:sz w:val="18"/>
                <w:szCs w:val="18"/>
                <w:lang w:val="en-ZA"/>
              </w:rPr>
              <w:t>13. Provisions—Targeted Improvements</w:t>
            </w:r>
          </w:p>
        </w:tc>
      </w:tr>
      <w:tr w:rsidR="00F529E0" w:rsidRPr="00F529E0" w14:paraId="3CE3E389" w14:textId="77777777" w:rsidTr="00F529E0">
        <w:trPr>
          <w:trHeight w:val="341"/>
        </w:trPr>
        <w:tc>
          <w:tcPr>
            <w:tcW w:w="4405" w:type="dxa"/>
            <w:hideMark/>
          </w:tcPr>
          <w:p w14:paraId="3EA289C9" w14:textId="77777777" w:rsidR="00F529E0" w:rsidRPr="00F529E0" w:rsidRDefault="00F529E0" w:rsidP="00F529E0">
            <w:pPr>
              <w:rPr>
                <w:rFonts w:cs="Arial"/>
                <w:sz w:val="18"/>
                <w:szCs w:val="18"/>
                <w:lang w:val="en-ZA"/>
              </w:rPr>
            </w:pPr>
            <w:r w:rsidRPr="00F529E0">
              <w:rPr>
                <w:rFonts w:cs="Arial"/>
                <w:sz w:val="18"/>
                <w:szCs w:val="18"/>
              </w:rPr>
              <w:t>4. Business Combinations under Common Control</w:t>
            </w:r>
          </w:p>
        </w:tc>
        <w:tc>
          <w:tcPr>
            <w:tcW w:w="4675" w:type="dxa"/>
            <w:hideMark/>
          </w:tcPr>
          <w:p w14:paraId="7C8CB40A" w14:textId="77777777" w:rsidR="00F529E0" w:rsidRPr="00F529E0" w:rsidRDefault="00F529E0" w:rsidP="00F529E0">
            <w:pPr>
              <w:rPr>
                <w:rFonts w:cs="Arial"/>
                <w:sz w:val="18"/>
                <w:szCs w:val="18"/>
                <w:lang w:val="en-ZA"/>
              </w:rPr>
            </w:pPr>
            <w:r w:rsidRPr="00F529E0">
              <w:rPr>
                <w:rFonts w:cs="Arial"/>
                <w:sz w:val="18"/>
                <w:szCs w:val="18"/>
              </w:rPr>
              <w:t>14. Disclosure Initiative—Subsidiaries that are SMEs</w:t>
            </w:r>
          </w:p>
        </w:tc>
      </w:tr>
      <w:tr w:rsidR="00F529E0" w:rsidRPr="00F529E0" w14:paraId="431707DC" w14:textId="77777777" w:rsidTr="00F529E0">
        <w:trPr>
          <w:trHeight w:val="20"/>
        </w:trPr>
        <w:tc>
          <w:tcPr>
            <w:tcW w:w="4405" w:type="dxa"/>
            <w:hideMark/>
          </w:tcPr>
          <w:p w14:paraId="0D9CDB02" w14:textId="77777777" w:rsidR="00F529E0" w:rsidRPr="00F529E0" w:rsidRDefault="00F529E0" w:rsidP="00F529E0">
            <w:pPr>
              <w:rPr>
                <w:rFonts w:cs="Arial"/>
                <w:sz w:val="18"/>
                <w:szCs w:val="18"/>
                <w:lang w:val="en-ZA"/>
              </w:rPr>
            </w:pPr>
            <w:r w:rsidRPr="00F529E0">
              <w:rPr>
                <w:rFonts w:cs="Arial"/>
                <w:sz w:val="18"/>
                <w:szCs w:val="18"/>
              </w:rPr>
              <w:t>5. Post-implementation Review of IFRS 10, IFRS 11 and IFRS 12</w:t>
            </w:r>
          </w:p>
        </w:tc>
        <w:tc>
          <w:tcPr>
            <w:tcW w:w="4675" w:type="dxa"/>
            <w:hideMark/>
          </w:tcPr>
          <w:p w14:paraId="558AA634" w14:textId="77777777" w:rsidR="00F529E0" w:rsidRPr="00F529E0" w:rsidRDefault="00F529E0" w:rsidP="00F529E0">
            <w:pPr>
              <w:rPr>
                <w:rFonts w:cs="Arial"/>
                <w:sz w:val="18"/>
                <w:szCs w:val="18"/>
                <w:lang w:val="en-ZA"/>
              </w:rPr>
            </w:pPr>
            <w:r w:rsidRPr="00F529E0">
              <w:rPr>
                <w:rFonts w:cs="Arial"/>
                <w:sz w:val="18"/>
                <w:szCs w:val="18"/>
                <w:lang w:val="en-ZA"/>
              </w:rPr>
              <w:t>15. Equity Method</w:t>
            </w:r>
          </w:p>
        </w:tc>
      </w:tr>
      <w:tr w:rsidR="00F529E0" w:rsidRPr="00F529E0" w14:paraId="09736A70" w14:textId="77777777" w:rsidTr="00F529E0">
        <w:trPr>
          <w:trHeight w:val="20"/>
        </w:trPr>
        <w:tc>
          <w:tcPr>
            <w:tcW w:w="4405" w:type="dxa"/>
            <w:hideMark/>
          </w:tcPr>
          <w:p w14:paraId="65955D22" w14:textId="77777777" w:rsidR="00F529E0" w:rsidRPr="00F529E0" w:rsidRDefault="00F529E0" w:rsidP="00F529E0">
            <w:pPr>
              <w:rPr>
                <w:rFonts w:cs="Arial"/>
                <w:sz w:val="18"/>
                <w:szCs w:val="18"/>
                <w:lang w:val="en-ZA"/>
              </w:rPr>
            </w:pPr>
            <w:r w:rsidRPr="00F529E0">
              <w:rPr>
                <w:rFonts w:cs="Arial"/>
                <w:sz w:val="18"/>
                <w:szCs w:val="18"/>
                <w:lang w:val="en-ZA"/>
              </w:rPr>
              <w:t>6. Management Commentary</w:t>
            </w:r>
          </w:p>
        </w:tc>
        <w:tc>
          <w:tcPr>
            <w:tcW w:w="4675" w:type="dxa"/>
            <w:hideMark/>
          </w:tcPr>
          <w:p w14:paraId="2E22D5DE" w14:textId="77777777" w:rsidR="00F529E0" w:rsidRPr="00F529E0" w:rsidRDefault="00F529E0" w:rsidP="00F529E0">
            <w:pPr>
              <w:rPr>
                <w:rFonts w:cs="Arial"/>
                <w:sz w:val="18"/>
                <w:szCs w:val="18"/>
                <w:lang w:val="en-ZA"/>
              </w:rPr>
            </w:pPr>
            <w:r w:rsidRPr="00F529E0">
              <w:rPr>
                <w:rFonts w:cs="Arial"/>
                <w:sz w:val="18"/>
                <w:szCs w:val="18"/>
              </w:rPr>
              <w:t>16. Financial Instruments with Characteristics of Equity</w:t>
            </w:r>
          </w:p>
        </w:tc>
      </w:tr>
      <w:tr w:rsidR="00F529E0" w:rsidRPr="00F529E0" w14:paraId="124B5811" w14:textId="77777777" w:rsidTr="00F529E0">
        <w:trPr>
          <w:trHeight w:val="278"/>
        </w:trPr>
        <w:tc>
          <w:tcPr>
            <w:tcW w:w="4405" w:type="dxa"/>
            <w:hideMark/>
          </w:tcPr>
          <w:p w14:paraId="2BC6F46D" w14:textId="77777777" w:rsidR="00F529E0" w:rsidRPr="00F529E0" w:rsidRDefault="00F529E0" w:rsidP="00F529E0">
            <w:pPr>
              <w:rPr>
                <w:rFonts w:cs="Arial"/>
                <w:sz w:val="18"/>
                <w:szCs w:val="18"/>
                <w:lang w:val="en-ZA"/>
              </w:rPr>
            </w:pPr>
            <w:r w:rsidRPr="00F529E0">
              <w:rPr>
                <w:rFonts w:cs="Arial"/>
                <w:sz w:val="18"/>
                <w:szCs w:val="18"/>
                <w:lang w:val="en-ZA"/>
              </w:rPr>
              <w:t>7. Dynamic Risk Management</w:t>
            </w:r>
          </w:p>
        </w:tc>
        <w:tc>
          <w:tcPr>
            <w:tcW w:w="4675" w:type="dxa"/>
            <w:hideMark/>
          </w:tcPr>
          <w:p w14:paraId="0A9BB3BF" w14:textId="77777777" w:rsidR="00F529E0" w:rsidRPr="00F529E0" w:rsidRDefault="00F529E0" w:rsidP="00F529E0">
            <w:pPr>
              <w:rPr>
                <w:rFonts w:cs="Arial"/>
                <w:sz w:val="18"/>
                <w:szCs w:val="18"/>
                <w:lang w:val="en-ZA"/>
              </w:rPr>
            </w:pPr>
            <w:r w:rsidRPr="00F529E0">
              <w:rPr>
                <w:rFonts w:cs="Arial"/>
                <w:sz w:val="18"/>
                <w:szCs w:val="18"/>
              </w:rPr>
              <w:t>17. Lack of Exchangeability (Amendments to IAS 21)</w:t>
            </w:r>
          </w:p>
        </w:tc>
      </w:tr>
      <w:tr w:rsidR="00F529E0" w:rsidRPr="00F529E0" w14:paraId="2DDA2020" w14:textId="77777777" w:rsidTr="00F529E0">
        <w:trPr>
          <w:trHeight w:val="260"/>
        </w:trPr>
        <w:tc>
          <w:tcPr>
            <w:tcW w:w="4405" w:type="dxa"/>
            <w:hideMark/>
          </w:tcPr>
          <w:p w14:paraId="6F7E480F" w14:textId="77777777" w:rsidR="00F529E0" w:rsidRPr="00F529E0" w:rsidRDefault="00F529E0" w:rsidP="00F529E0">
            <w:pPr>
              <w:rPr>
                <w:rFonts w:cs="Arial"/>
                <w:sz w:val="18"/>
                <w:szCs w:val="18"/>
                <w:lang w:val="en-ZA"/>
              </w:rPr>
            </w:pPr>
            <w:r w:rsidRPr="00F529E0">
              <w:rPr>
                <w:rFonts w:cs="Arial"/>
                <w:sz w:val="18"/>
                <w:szCs w:val="18"/>
                <w:lang w:val="en-ZA"/>
              </w:rPr>
              <w:t>8. Primary Financial Statements</w:t>
            </w:r>
          </w:p>
        </w:tc>
        <w:tc>
          <w:tcPr>
            <w:tcW w:w="4675" w:type="dxa"/>
            <w:hideMark/>
          </w:tcPr>
          <w:p w14:paraId="5A9F5704" w14:textId="77777777" w:rsidR="00F529E0" w:rsidRPr="00F529E0" w:rsidRDefault="00F529E0" w:rsidP="00F529E0">
            <w:pPr>
              <w:rPr>
                <w:rFonts w:cs="Arial"/>
                <w:sz w:val="18"/>
                <w:szCs w:val="18"/>
                <w:lang w:val="en-ZA"/>
              </w:rPr>
            </w:pPr>
            <w:r w:rsidRPr="00F529E0">
              <w:rPr>
                <w:rFonts w:cs="Arial"/>
                <w:sz w:val="18"/>
                <w:szCs w:val="18"/>
              </w:rPr>
              <w:t>18. Lease Liability in a Sale and Leaseback</w:t>
            </w:r>
          </w:p>
        </w:tc>
      </w:tr>
      <w:tr w:rsidR="00F529E0" w:rsidRPr="00F529E0" w14:paraId="735DAB52" w14:textId="77777777" w:rsidTr="00F529E0">
        <w:trPr>
          <w:trHeight w:val="269"/>
        </w:trPr>
        <w:tc>
          <w:tcPr>
            <w:tcW w:w="4405" w:type="dxa"/>
            <w:hideMark/>
          </w:tcPr>
          <w:p w14:paraId="240F4624" w14:textId="77777777" w:rsidR="00F529E0" w:rsidRPr="00F529E0" w:rsidRDefault="00F529E0" w:rsidP="00F529E0">
            <w:pPr>
              <w:rPr>
                <w:rFonts w:cs="Arial"/>
                <w:sz w:val="18"/>
                <w:szCs w:val="18"/>
                <w:lang w:val="en-ZA"/>
              </w:rPr>
            </w:pPr>
            <w:r w:rsidRPr="00F529E0">
              <w:rPr>
                <w:rFonts w:cs="Arial"/>
                <w:sz w:val="18"/>
                <w:szCs w:val="18"/>
                <w:lang w:val="en-ZA"/>
              </w:rPr>
              <w:t>9. Extractive Activities</w:t>
            </w:r>
          </w:p>
        </w:tc>
        <w:tc>
          <w:tcPr>
            <w:tcW w:w="4675" w:type="dxa"/>
            <w:hideMark/>
          </w:tcPr>
          <w:p w14:paraId="790296BC" w14:textId="77777777" w:rsidR="00F529E0" w:rsidRPr="00F529E0" w:rsidRDefault="00F529E0" w:rsidP="00F529E0">
            <w:pPr>
              <w:rPr>
                <w:rFonts w:cs="Arial"/>
                <w:sz w:val="18"/>
                <w:szCs w:val="18"/>
                <w:lang w:val="en-ZA"/>
              </w:rPr>
            </w:pPr>
            <w:r w:rsidRPr="00F529E0">
              <w:rPr>
                <w:rFonts w:cs="Arial"/>
                <w:sz w:val="18"/>
                <w:szCs w:val="18"/>
              </w:rPr>
              <w:t>19. Pension Benefits that Depend on Asset Returns</w:t>
            </w:r>
          </w:p>
        </w:tc>
      </w:tr>
      <w:tr w:rsidR="00F529E0" w:rsidRPr="00F529E0" w14:paraId="4C8CB60F" w14:textId="77777777" w:rsidTr="00F529E0">
        <w:trPr>
          <w:trHeight w:val="350"/>
        </w:trPr>
        <w:tc>
          <w:tcPr>
            <w:tcW w:w="4405" w:type="dxa"/>
            <w:hideMark/>
          </w:tcPr>
          <w:p w14:paraId="6B8260E6" w14:textId="77777777" w:rsidR="00F529E0" w:rsidRPr="00F529E0" w:rsidRDefault="00F529E0" w:rsidP="00F529E0">
            <w:pPr>
              <w:rPr>
                <w:rFonts w:cs="Arial"/>
                <w:sz w:val="18"/>
                <w:szCs w:val="18"/>
                <w:lang w:val="en-ZA"/>
              </w:rPr>
            </w:pPr>
            <w:r w:rsidRPr="00F529E0">
              <w:rPr>
                <w:rFonts w:cs="Arial"/>
                <w:sz w:val="18"/>
                <w:szCs w:val="18"/>
                <w:lang w:val="en-ZA"/>
              </w:rPr>
              <w:t>10. Rate-regulated Activities</w:t>
            </w:r>
          </w:p>
        </w:tc>
        <w:tc>
          <w:tcPr>
            <w:tcW w:w="4675" w:type="dxa"/>
            <w:hideMark/>
          </w:tcPr>
          <w:p w14:paraId="03CC37FE" w14:textId="77777777" w:rsidR="00F529E0" w:rsidRPr="00F529E0" w:rsidRDefault="00F529E0" w:rsidP="00F529E0">
            <w:pPr>
              <w:rPr>
                <w:rFonts w:cs="Arial"/>
                <w:sz w:val="18"/>
                <w:szCs w:val="18"/>
                <w:lang w:val="en-ZA"/>
              </w:rPr>
            </w:pPr>
            <w:r w:rsidRPr="00F529E0">
              <w:rPr>
                <w:rFonts w:cs="Arial"/>
                <w:sz w:val="18"/>
                <w:szCs w:val="18"/>
              </w:rPr>
              <w:t>20. Availability of a Refund (Amendments to IFRIC 14)</w:t>
            </w:r>
          </w:p>
        </w:tc>
      </w:tr>
    </w:tbl>
    <w:p w14:paraId="651E848A" w14:textId="77777777" w:rsidR="008B0A6C" w:rsidRPr="00612E27" w:rsidRDefault="008B0A6C" w:rsidP="008B0A6C">
      <w:pPr>
        <w:rPr>
          <w:rFonts w:cs="Arial"/>
          <w:sz w:val="20"/>
          <w:lang w:val="en-ZA"/>
        </w:rPr>
      </w:pPr>
    </w:p>
    <w:p w14:paraId="796C16D2" w14:textId="42B47A50" w:rsidR="00540F6B" w:rsidRDefault="00540F6B" w:rsidP="00540F6B">
      <w:pPr>
        <w:rPr>
          <w:rFonts w:cs="Arial"/>
          <w:sz w:val="20"/>
          <w:lang w:val="en-GB"/>
        </w:rPr>
      </w:pPr>
    </w:p>
    <w:p w14:paraId="20C52B00" w14:textId="7FAD08E9" w:rsidR="00540F6B" w:rsidRDefault="00540F6B" w:rsidP="00540F6B">
      <w:pPr>
        <w:rPr>
          <w:rFonts w:cs="Arial"/>
          <w:sz w:val="20"/>
          <w:lang w:val="en-GB"/>
        </w:rPr>
      </w:pPr>
    </w:p>
    <w:p w14:paraId="60AEC164" w14:textId="145E9B3D" w:rsidR="000F090F" w:rsidRDefault="000F090F" w:rsidP="00540F6B">
      <w:pPr>
        <w:rPr>
          <w:rFonts w:cs="Arial"/>
          <w:sz w:val="20"/>
          <w:lang w:val="en-GB"/>
        </w:rPr>
      </w:pPr>
    </w:p>
    <w:p w14:paraId="6660BEBB" w14:textId="4116F41D" w:rsidR="006440D9" w:rsidRDefault="006440D9" w:rsidP="006440D9">
      <w:pPr>
        <w:rPr>
          <w:rFonts w:cs="Arial"/>
          <w:sz w:val="20"/>
          <w:lang w:val="en-GB"/>
        </w:rPr>
      </w:pPr>
    </w:p>
    <w:p w14:paraId="70237D94" w14:textId="316A8BB6" w:rsidR="00FA136B" w:rsidRPr="002F6144" w:rsidRDefault="002F6144" w:rsidP="002F6144">
      <w:pPr>
        <w:rPr>
          <w:rFonts w:ascii="Addington CF Thin" w:hAnsi="Addington CF Thin"/>
          <w:b/>
          <w:bCs/>
          <w:color w:val="auto"/>
          <w:sz w:val="32"/>
          <w:szCs w:val="32"/>
        </w:rPr>
      </w:pPr>
      <w:r w:rsidRPr="002F6144">
        <w:rPr>
          <w:rFonts w:ascii="Addington CF Thin" w:hAnsi="Addington CF Thin"/>
          <w:b/>
          <w:bCs/>
          <w:color w:val="auto"/>
          <w:sz w:val="32"/>
          <w:szCs w:val="32"/>
        </w:rPr>
        <w:t>Appendix 1</w:t>
      </w:r>
      <w:r w:rsidR="005A3D59" w:rsidRPr="002F6144">
        <w:rPr>
          <w:rFonts w:ascii="Addington CF Thin" w:hAnsi="Addington CF Thin"/>
          <w:b/>
          <w:bCs/>
          <w:color w:val="auto"/>
          <w:sz w:val="32"/>
          <w:szCs w:val="32"/>
        </w:rPr>
        <w:t xml:space="preserve"> </w:t>
      </w:r>
    </w:p>
    <w:p w14:paraId="59D564F0" w14:textId="77777777" w:rsidR="005A3D59" w:rsidRDefault="005A3D59" w:rsidP="005A3D59">
      <w:pPr>
        <w:ind w:left="360"/>
        <w:rPr>
          <w:rFonts w:cs="Arial"/>
          <w:sz w:val="20"/>
          <w:lang w:val="en-GB"/>
        </w:rPr>
      </w:pPr>
    </w:p>
    <w:tbl>
      <w:tblPr>
        <w:tblStyle w:val="GridTable1Light"/>
        <w:tblW w:w="9175" w:type="dxa"/>
        <w:tblLook w:val="0420" w:firstRow="1" w:lastRow="0" w:firstColumn="0" w:lastColumn="0" w:noHBand="0" w:noVBand="1"/>
      </w:tblPr>
      <w:tblGrid>
        <w:gridCol w:w="2467"/>
        <w:gridCol w:w="5538"/>
        <w:gridCol w:w="1170"/>
      </w:tblGrid>
      <w:tr w:rsidR="002F6144" w:rsidRPr="005A3D59" w14:paraId="16DE023A" w14:textId="77777777" w:rsidTr="004674F7">
        <w:trPr>
          <w:cnfStyle w:val="100000000000" w:firstRow="1" w:lastRow="0" w:firstColumn="0" w:lastColumn="0" w:oddVBand="0" w:evenVBand="0" w:oddHBand="0" w:evenHBand="0" w:firstRowFirstColumn="0" w:firstRowLastColumn="0" w:lastRowFirstColumn="0" w:lastRowLastColumn="0"/>
          <w:trHeight w:val="288"/>
        </w:trPr>
        <w:tc>
          <w:tcPr>
            <w:tcW w:w="2467" w:type="dxa"/>
            <w:shd w:val="clear" w:color="auto" w:fill="54CFBF" w:themeFill="accent2"/>
          </w:tcPr>
          <w:p w14:paraId="08E1C11A" w14:textId="5E881EA7" w:rsidR="005A3D59" w:rsidRPr="005A3D59" w:rsidRDefault="005A3D59" w:rsidP="005A3D59">
            <w:pPr>
              <w:jc w:val="center"/>
              <w:rPr>
                <w:rFonts w:eastAsia="Roboto UKEB" w:cs="Arial"/>
                <w:color w:val="FFFFFF" w:themeColor="background1"/>
                <w:kern w:val="24"/>
                <w:sz w:val="20"/>
                <w:lang w:eastAsia="en-ZA"/>
              </w:rPr>
            </w:pPr>
            <w:r w:rsidRPr="005A3D59">
              <w:rPr>
                <w:rFonts w:eastAsia="Roboto UKEB" w:cs="Arial"/>
                <w:color w:val="FFFFFF" w:themeColor="background1"/>
                <w:kern w:val="24"/>
                <w:sz w:val="20"/>
                <w:lang w:eastAsia="en-ZA"/>
              </w:rPr>
              <w:t>Project</w:t>
            </w:r>
          </w:p>
        </w:tc>
        <w:tc>
          <w:tcPr>
            <w:tcW w:w="5538" w:type="dxa"/>
            <w:shd w:val="clear" w:color="auto" w:fill="54CFBF" w:themeFill="accent2"/>
            <w:hideMark/>
          </w:tcPr>
          <w:p w14:paraId="4A2F260F" w14:textId="27FCF077" w:rsidR="005A3D59" w:rsidRPr="005A3D59" w:rsidRDefault="005A3D59" w:rsidP="005A3D59">
            <w:pPr>
              <w:jc w:val="center"/>
              <w:rPr>
                <w:rFonts w:ascii="Arial" w:eastAsia="Times New Roman" w:hAnsi="Arial" w:cs="Arial"/>
                <w:color w:val="FFFFFF" w:themeColor="background1"/>
                <w:sz w:val="20"/>
                <w:lang w:val="en-ZA" w:eastAsia="en-ZA"/>
              </w:rPr>
            </w:pPr>
            <w:r w:rsidRPr="005A3D59">
              <w:rPr>
                <w:rFonts w:eastAsia="Roboto UKEB" w:cs="Arial"/>
                <w:color w:val="FFFFFF" w:themeColor="background1"/>
                <w:kern w:val="24"/>
                <w:sz w:val="20"/>
                <w:lang w:eastAsia="en-ZA"/>
              </w:rPr>
              <w:t>Scope</w:t>
            </w:r>
          </w:p>
        </w:tc>
        <w:tc>
          <w:tcPr>
            <w:tcW w:w="1170" w:type="dxa"/>
            <w:shd w:val="clear" w:color="auto" w:fill="54CFBF" w:themeFill="accent2"/>
            <w:hideMark/>
          </w:tcPr>
          <w:p w14:paraId="0DD3F155" w14:textId="5E0762B2" w:rsidR="005A3D59" w:rsidRPr="005A3D59" w:rsidRDefault="005A3D59" w:rsidP="005A3D59">
            <w:pPr>
              <w:jc w:val="center"/>
              <w:rPr>
                <w:rFonts w:ascii="Arial" w:eastAsia="Times New Roman" w:hAnsi="Arial" w:cs="Arial"/>
                <w:color w:val="FFFFFF" w:themeColor="background1"/>
                <w:sz w:val="20"/>
                <w:lang w:val="en-ZA" w:eastAsia="en-ZA"/>
              </w:rPr>
            </w:pPr>
            <w:r w:rsidRPr="005A3D59">
              <w:rPr>
                <w:rFonts w:eastAsia="Roboto UKEB" w:cs="Arial"/>
                <w:color w:val="FFFFFF" w:themeColor="background1"/>
                <w:kern w:val="24"/>
                <w:sz w:val="20"/>
                <w:lang w:eastAsia="en-ZA"/>
              </w:rPr>
              <w:t>Size</w:t>
            </w:r>
          </w:p>
        </w:tc>
      </w:tr>
      <w:tr w:rsidR="00987888" w:rsidRPr="005A3D59" w14:paraId="22D3A38F" w14:textId="77777777" w:rsidTr="004674F7">
        <w:trPr>
          <w:trHeight w:val="573"/>
        </w:trPr>
        <w:tc>
          <w:tcPr>
            <w:tcW w:w="2467" w:type="dxa"/>
            <w:vMerge w:val="restart"/>
          </w:tcPr>
          <w:p w14:paraId="094E7E61" w14:textId="541CAA68" w:rsidR="005A3D59" w:rsidRPr="005A3D59" w:rsidRDefault="005A3D59" w:rsidP="005925A7">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Borrowing Costs </w:t>
            </w:r>
          </w:p>
        </w:tc>
        <w:tc>
          <w:tcPr>
            <w:tcW w:w="5538" w:type="dxa"/>
            <w:hideMark/>
          </w:tcPr>
          <w:p w14:paraId="5E083553" w14:textId="57B9ADD4" w:rsidR="005A3D59" w:rsidRPr="005A3D59" w:rsidRDefault="005A3D59" w:rsidP="005A3D59">
            <w:pPr>
              <w:textAlignment w:val="center"/>
              <w:rPr>
                <w:rFonts w:ascii="Arial" w:eastAsia="Times New Roman" w:hAnsi="Arial" w:cs="Arial"/>
                <w:color w:val="auto"/>
                <w:sz w:val="20"/>
                <w:lang w:val="en-ZA" w:eastAsia="en-ZA"/>
              </w:rPr>
            </w:pPr>
            <w:r w:rsidRPr="005A3D59">
              <w:rPr>
                <w:rFonts w:eastAsia="Roboto UKEB" w:cs="Arial"/>
                <w:color w:val="auto"/>
                <w:kern w:val="24"/>
                <w:sz w:val="20"/>
                <w:lang w:eastAsia="en-ZA"/>
              </w:rPr>
              <w:t xml:space="preserve">A targeted project to improve, clarify or simplify aspects of IAS 23 </w:t>
            </w:r>
          </w:p>
        </w:tc>
        <w:tc>
          <w:tcPr>
            <w:tcW w:w="1170" w:type="dxa"/>
            <w:hideMark/>
          </w:tcPr>
          <w:p w14:paraId="7BF28B36" w14:textId="77777777" w:rsidR="005A3D59" w:rsidRPr="005A3D59" w:rsidRDefault="005A3D59" w:rsidP="005A3D59">
            <w:pPr>
              <w:jc w:val="center"/>
              <w:rPr>
                <w:rFonts w:ascii="Arial" w:eastAsia="Times New Roman" w:hAnsi="Arial" w:cs="Arial"/>
                <w:color w:val="auto"/>
                <w:sz w:val="20"/>
                <w:lang w:val="en-ZA" w:eastAsia="en-ZA"/>
              </w:rPr>
            </w:pPr>
            <w:r w:rsidRPr="005A3D59">
              <w:rPr>
                <w:rFonts w:eastAsia="Roboto UKEB" w:cs="Arial"/>
                <w:color w:val="auto"/>
                <w:kern w:val="24"/>
                <w:sz w:val="20"/>
                <w:lang w:eastAsia="en-ZA"/>
              </w:rPr>
              <w:t>Small</w:t>
            </w:r>
          </w:p>
        </w:tc>
      </w:tr>
      <w:tr w:rsidR="00987888" w:rsidRPr="005A3D59" w14:paraId="182CEA11" w14:textId="77777777" w:rsidTr="004674F7">
        <w:trPr>
          <w:trHeight w:val="350"/>
        </w:trPr>
        <w:tc>
          <w:tcPr>
            <w:tcW w:w="2467" w:type="dxa"/>
            <w:vMerge/>
          </w:tcPr>
          <w:p w14:paraId="40405350" w14:textId="77777777" w:rsidR="005A3D59" w:rsidRPr="005A3D59" w:rsidRDefault="005A3D59" w:rsidP="005A3D59">
            <w:pPr>
              <w:textAlignment w:val="center"/>
              <w:rPr>
                <w:rFonts w:eastAsia="Roboto UKEB" w:cs="Arial"/>
                <w:color w:val="auto"/>
                <w:kern w:val="24"/>
                <w:sz w:val="20"/>
                <w:lang w:eastAsia="en-ZA"/>
              </w:rPr>
            </w:pPr>
          </w:p>
        </w:tc>
        <w:tc>
          <w:tcPr>
            <w:tcW w:w="5538" w:type="dxa"/>
            <w:hideMark/>
          </w:tcPr>
          <w:p w14:paraId="2C36720D" w14:textId="2352F2FB" w:rsidR="005A3D59" w:rsidRPr="005A3D59" w:rsidRDefault="005A3D59" w:rsidP="005A3D59">
            <w:pPr>
              <w:textAlignment w:val="center"/>
              <w:rPr>
                <w:rFonts w:ascii="Arial" w:eastAsia="Times New Roman" w:hAnsi="Arial" w:cs="Arial"/>
                <w:color w:val="auto"/>
                <w:sz w:val="20"/>
                <w:lang w:val="en-ZA" w:eastAsia="en-ZA"/>
              </w:rPr>
            </w:pPr>
            <w:r w:rsidRPr="005A3D59">
              <w:rPr>
                <w:rFonts w:eastAsia="Roboto UKEB" w:cs="Arial"/>
                <w:color w:val="auto"/>
                <w:kern w:val="24"/>
                <w:sz w:val="20"/>
                <w:lang w:eastAsia="en-ZA"/>
              </w:rPr>
              <w:t xml:space="preserve">A comprehensive review of IAS 23 </w:t>
            </w:r>
          </w:p>
        </w:tc>
        <w:tc>
          <w:tcPr>
            <w:tcW w:w="1170" w:type="dxa"/>
            <w:hideMark/>
          </w:tcPr>
          <w:p w14:paraId="3FC2330A" w14:textId="77777777" w:rsidR="005A3D59" w:rsidRPr="005A3D59" w:rsidRDefault="005A3D59" w:rsidP="005A3D59">
            <w:pPr>
              <w:jc w:val="center"/>
              <w:rPr>
                <w:rFonts w:ascii="Arial" w:eastAsia="Times New Roman" w:hAnsi="Arial" w:cs="Arial"/>
                <w:color w:val="auto"/>
                <w:sz w:val="20"/>
                <w:lang w:val="en-ZA" w:eastAsia="en-ZA"/>
              </w:rPr>
            </w:pPr>
            <w:r w:rsidRPr="005A3D59">
              <w:rPr>
                <w:rFonts w:eastAsia="Roboto UKEB" w:cs="Arial"/>
                <w:color w:val="auto"/>
                <w:kern w:val="24"/>
                <w:sz w:val="20"/>
                <w:lang w:eastAsia="en-ZA"/>
              </w:rPr>
              <w:t>Medium</w:t>
            </w:r>
          </w:p>
        </w:tc>
      </w:tr>
      <w:tr w:rsidR="00987888" w:rsidRPr="005A3D59" w14:paraId="09E5AE6A" w14:textId="77777777" w:rsidTr="004674F7">
        <w:trPr>
          <w:trHeight w:val="288"/>
        </w:trPr>
        <w:tc>
          <w:tcPr>
            <w:tcW w:w="2467" w:type="dxa"/>
            <w:shd w:val="clear" w:color="auto" w:fill="F5F5F2" w:themeFill="accent3"/>
          </w:tcPr>
          <w:p w14:paraId="3324A80B" w14:textId="77777777" w:rsidR="005A3D59" w:rsidRPr="005A3D59" w:rsidRDefault="005A3D59" w:rsidP="005A3D59">
            <w:pPr>
              <w:textAlignment w:val="center"/>
              <w:rPr>
                <w:rFonts w:eastAsia="Roboto UKEB" w:cs="Arial"/>
                <w:color w:val="auto"/>
                <w:kern w:val="24"/>
                <w:sz w:val="20"/>
                <w:lang w:eastAsia="en-ZA"/>
              </w:rPr>
            </w:pPr>
          </w:p>
        </w:tc>
        <w:tc>
          <w:tcPr>
            <w:tcW w:w="5538" w:type="dxa"/>
            <w:shd w:val="clear" w:color="auto" w:fill="F5F5F2" w:themeFill="accent3"/>
          </w:tcPr>
          <w:p w14:paraId="204F861D" w14:textId="77777777" w:rsidR="005A3D59" w:rsidRPr="005A3D59" w:rsidRDefault="005A3D59" w:rsidP="005A3D59">
            <w:pPr>
              <w:textAlignment w:val="center"/>
              <w:rPr>
                <w:rFonts w:eastAsia="Roboto UKEB" w:cs="Arial"/>
                <w:color w:val="auto"/>
                <w:kern w:val="24"/>
                <w:sz w:val="20"/>
                <w:lang w:eastAsia="en-ZA"/>
              </w:rPr>
            </w:pPr>
          </w:p>
        </w:tc>
        <w:tc>
          <w:tcPr>
            <w:tcW w:w="1170" w:type="dxa"/>
            <w:shd w:val="clear" w:color="auto" w:fill="F5F5F2" w:themeFill="accent3"/>
          </w:tcPr>
          <w:p w14:paraId="25D8D164" w14:textId="77777777" w:rsidR="005A3D59" w:rsidRPr="005A3D59" w:rsidRDefault="005A3D59" w:rsidP="005A3D59">
            <w:pPr>
              <w:jc w:val="center"/>
              <w:rPr>
                <w:rFonts w:eastAsia="Roboto UKEB" w:cs="Arial"/>
                <w:color w:val="auto"/>
                <w:kern w:val="24"/>
                <w:sz w:val="20"/>
                <w:lang w:eastAsia="en-ZA"/>
              </w:rPr>
            </w:pPr>
          </w:p>
        </w:tc>
      </w:tr>
      <w:tr w:rsidR="00E84DF2" w:rsidRPr="005A3D59" w14:paraId="113DD164" w14:textId="79731F36" w:rsidTr="004674F7">
        <w:trPr>
          <w:trHeight w:val="1295"/>
        </w:trPr>
        <w:tc>
          <w:tcPr>
            <w:tcW w:w="2467" w:type="dxa"/>
            <w:vMerge w:val="restart"/>
          </w:tcPr>
          <w:p w14:paraId="1ED326EC" w14:textId="3F441C85" w:rsidR="005A3D59" w:rsidRPr="004674F7" w:rsidRDefault="005A3D59" w:rsidP="005925A7">
            <w:pPr>
              <w:pStyle w:val="ListParagraph"/>
              <w:numPr>
                <w:ilvl w:val="0"/>
                <w:numId w:val="9"/>
              </w:numPr>
              <w:textAlignment w:val="center"/>
              <w:rPr>
                <w:rFonts w:eastAsia="Roboto UKEB" w:cs="Arial"/>
                <w:color w:val="auto"/>
                <w:kern w:val="24"/>
                <w:sz w:val="20"/>
                <w:lang w:val="en-ZA" w:eastAsia="en-ZA"/>
              </w:rPr>
            </w:pPr>
            <w:r w:rsidRPr="004674F7">
              <w:rPr>
                <w:rFonts w:eastAsia="Roboto UKEB" w:cs="Arial"/>
                <w:color w:val="auto"/>
                <w:kern w:val="24"/>
                <w:sz w:val="20"/>
                <w:lang w:val="en-ZA" w:eastAsia="en-ZA"/>
              </w:rPr>
              <w:lastRenderedPageBreak/>
              <w:t>Climate-related risks</w:t>
            </w:r>
          </w:p>
        </w:tc>
        <w:tc>
          <w:tcPr>
            <w:tcW w:w="5538" w:type="dxa"/>
          </w:tcPr>
          <w:p w14:paraId="2588EECC" w14:textId="0BBA10BB" w:rsidR="005A3D59" w:rsidRPr="005A3D59" w:rsidRDefault="005A3D59" w:rsidP="005A3D59">
            <w:pPr>
              <w:textAlignment w:val="center"/>
              <w:rPr>
                <w:rFonts w:eastAsia="Roboto UKEB" w:cs="Arial"/>
                <w:color w:val="auto"/>
                <w:kern w:val="24"/>
                <w:sz w:val="20"/>
                <w:lang w:val="en-ZA" w:eastAsia="en-ZA"/>
              </w:rPr>
            </w:pPr>
            <w:r w:rsidRPr="005A3D59">
              <w:rPr>
                <w:rFonts w:eastAsia="Roboto UKEB" w:cs="Arial"/>
                <w:color w:val="auto"/>
                <w:kern w:val="24"/>
                <w:sz w:val="20"/>
                <w:lang w:eastAsia="en-ZA"/>
              </w:rPr>
              <w:t xml:space="preserve">Lower the threshold for disclosing information about sources of estimation uncertainty in paragraph 125 (disclose information about the assumptions and other major sources of estimation uncertainty it makes about the future) of IAS 1. </w:t>
            </w:r>
          </w:p>
        </w:tc>
        <w:tc>
          <w:tcPr>
            <w:tcW w:w="1170" w:type="dxa"/>
          </w:tcPr>
          <w:p w14:paraId="50814ED5" w14:textId="7C20971E" w:rsidR="005A3D59" w:rsidRPr="005A3D59" w:rsidRDefault="005A3D59" w:rsidP="005A3D59">
            <w:pPr>
              <w:rPr>
                <w:rFonts w:eastAsia="Roboto UKEB" w:cs="Arial"/>
                <w:color w:val="auto"/>
                <w:kern w:val="24"/>
                <w:sz w:val="20"/>
                <w:lang w:val="en-ZA" w:eastAsia="en-ZA"/>
              </w:rPr>
            </w:pPr>
            <w:r w:rsidRPr="005A3D59">
              <w:rPr>
                <w:rFonts w:eastAsia="Roboto UKEB" w:cs="Arial"/>
                <w:color w:val="auto"/>
                <w:kern w:val="24"/>
                <w:sz w:val="20"/>
                <w:lang w:eastAsia="en-ZA"/>
              </w:rPr>
              <w:t xml:space="preserve">Medium </w:t>
            </w:r>
          </w:p>
        </w:tc>
      </w:tr>
      <w:tr w:rsidR="00E84DF2" w:rsidRPr="005A3D59" w14:paraId="4B504089" w14:textId="09525B27" w:rsidTr="004674F7">
        <w:trPr>
          <w:trHeight w:val="1008"/>
        </w:trPr>
        <w:tc>
          <w:tcPr>
            <w:tcW w:w="2467" w:type="dxa"/>
            <w:vMerge/>
          </w:tcPr>
          <w:p w14:paraId="0B96B589" w14:textId="42B3F5E3" w:rsidR="005A3D59" w:rsidRPr="005A3D59" w:rsidRDefault="005A3D59" w:rsidP="005A3D59">
            <w:pPr>
              <w:textAlignment w:val="center"/>
              <w:rPr>
                <w:rFonts w:eastAsia="Roboto UKEB" w:cs="Arial"/>
                <w:color w:val="auto"/>
                <w:kern w:val="24"/>
                <w:sz w:val="20"/>
                <w:lang w:val="en-ZA" w:eastAsia="en-ZA"/>
              </w:rPr>
            </w:pPr>
          </w:p>
        </w:tc>
        <w:tc>
          <w:tcPr>
            <w:tcW w:w="5538" w:type="dxa"/>
          </w:tcPr>
          <w:p w14:paraId="2FBEF1D5" w14:textId="374527A1" w:rsidR="005A3D59" w:rsidRPr="005A3D59" w:rsidRDefault="005A3D59" w:rsidP="005A3D59">
            <w:pPr>
              <w:textAlignment w:val="center"/>
              <w:rPr>
                <w:rFonts w:eastAsia="Roboto UKEB" w:cs="Arial"/>
                <w:color w:val="auto"/>
                <w:kern w:val="24"/>
                <w:sz w:val="20"/>
                <w:lang w:val="en-ZA" w:eastAsia="en-ZA"/>
              </w:rPr>
            </w:pPr>
            <w:r w:rsidRPr="005A3D59">
              <w:rPr>
                <w:rFonts w:eastAsia="Roboto UKEB" w:cs="Arial"/>
                <w:color w:val="auto"/>
                <w:kern w:val="24"/>
                <w:sz w:val="20"/>
                <w:lang w:eastAsia="en-ZA"/>
              </w:rPr>
              <w:t>Broaden the requirements in IAS 36 Impairment of Assets for cash flow projections to be used in measuring value in use when testing assets for impairment.</w:t>
            </w:r>
          </w:p>
        </w:tc>
        <w:tc>
          <w:tcPr>
            <w:tcW w:w="1170" w:type="dxa"/>
          </w:tcPr>
          <w:p w14:paraId="377FA762" w14:textId="730E1AD6" w:rsidR="005A3D59" w:rsidRPr="005A3D59" w:rsidRDefault="005A3D59" w:rsidP="005A3D59">
            <w:pPr>
              <w:rPr>
                <w:rFonts w:eastAsia="Roboto UKEB" w:cs="Arial"/>
                <w:color w:val="auto"/>
                <w:kern w:val="24"/>
                <w:sz w:val="20"/>
                <w:lang w:val="en-ZA" w:eastAsia="en-ZA"/>
              </w:rPr>
            </w:pPr>
            <w:r w:rsidRPr="005A3D59">
              <w:rPr>
                <w:rFonts w:eastAsia="Roboto UKEB" w:cs="Arial"/>
                <w:color w:val="auto"/>
                <w:kern w:val="24"/>
                <w:sz w:val="20"/>
                <w:lang w:eastAsia="en-ZA"/>
              </w:rPr>
              <w:t>Small</w:t>
            </w:r>
          </w:p>
        </w:tc>
      </w:tr>
      <w:tr w:rsidR="00E84DF2" w:rsidRPr="005A3D59" w14:paraId="68C8A6D7" w14:textId="7F286B4A" w:rsidTr="004674F7">
        <w:trPr>
          <w:trHeight w:val="683"/>
        </w:trPr>
        <w:tc>
          <w:tcPr>
            <w:tcW w:w="2467" w:type="dxa"/>
            <w:vMerge/>
          </w:tcPr>
          <w:p w14:paraId="60C89E89" w14:textId="75CC8A2E" w:rsidR="005A3D59" w:rsidRPr="005A3D59" w:rsidRDefault="005A3D59" w:rsidP="005A3D59">
            <w:pPr>
              <w:textAlignment w:val="center"/>
              <w:rPr>
                <w:rFonts w:eastAsia="Roboto UKEB" w:cs="Arial"/>
                <w:color w:val="auto"/>
                <w:kern w:val="24"/>
                <w:sz w:val="20"/>
                <w:lang w:val="en-ZA" w:eastAsia="en-ZA"/>
              </w:rPr>
            </w:pPr>
          </w:p>
        </w:tc>
        <w:tc>
          <w:tcPr>
            <w:tcW w:w="5538" w:type="dxa"/>
          </w:tcPr>
          <w:p w14:paraId="0B76D4A6" w14:textId="092379AC" w:rsidR="005A3D59" w:rsidRPr="005A3D59" w:rsidRDefault="005A3D59" w:rsidP="005A3D59">
            <w:pPr>
              <w:textAlignment w:val="center"/>
              <w:rPr>
                <w:rFonts w:eastAsia="Roboto UKEB" w:cs="Arial"/>
                <w:color w:val="auto"/>
                <w:kern w:val="24"/>
                <w:sz w:val="20"/>
                <w:lang w:val="en-ZA" w:eastAsia="en-ZA"/>
              </w:rPr>
            </w:pPr>
            <w:r w:rsidRPr="005A3D59">
              <w:rPr>
                <w:rFonts w:eastAsia="Roboto UKEB" w:cs="Arial"/>
                <w:color w:val="auto"/>
                <w:kern w:val="24"/>
                <w:sz w:val="20"/>
                <w:lang w:eastAsia="en-ZA"/>
              </w:rPr>
              <w:t xml:space="preserve">Consider combining the projects described above to create a </w:t>
            </w:r>
            <w:r w:rsidRPr="005A3D59">
              <w:rPr>
                <w:rFonts w:eastAsia="Roboto UKEB" w:cs="Arial"/>
                <w:color w:val="auto"/>
                <w:kern w:val="24"/>
                <w:sz w:val="20"/>
                <w:lang w:val="en-ZA" w:eastAsia="en-ZA"/>
              </w:rPr>
              <w:t>single project</w:t>
            </w:r>
          </w:p>
        </w:tc>
        <w:tc>
          <w:tcPr>
            <w:tcW w:w="1170" w:type="dxa"/>
          </w:tcPr>
          <w:p w14:paraId="4CA8F749" w14:textId="30FF8045" w:rsidR="005A3D59" w:rsidRPr="005A3D59" w:rsidRDefault="005A3D59" w:rsidP="005A3D59">
            <w:pPr>
              <w:rPr>
                <w:rFonts w:eastAsia="Roboto UKEB" w:cs="Arial"/>
                <w:color w:val="auto"/>
                <w:kern w:val="24"/>
                <w:sz w:val="20"/>
                <w:lang w:val="en-ZA" w:eastAsia="en-ZA"/>
              </w:rPr>
            </w:pPr>
            <w:r w:rsidRPr="005A3D59">
              <w:rPr>
                <w:rFonts w:eastAsia="Roboto UKEB" w:cs="Arial"/>
                <w:color w:val="auto"/>
                <w:kern w:val="24"/>
                <w:sz w:val="20"/>
                <w:lang w:eastAsia="en-ZA"/>
              </w:rPr>
              <w:t>Large</w:t>
            </w:r>
          </w:p>
        </w:tc>
      </w:tr>
      <w:tr w:rsidR="00E84DF2" w:rsidRPr="005A3D59" w14:paraId="296F6B6A" w14:textId="54E8A72A" w:rsidTr="004674F7">
        <w:trPr>
          <w:trHeight w:val="656"/>
        </w:trPr>
        <w:tc>
          <w:tcPr>
            <w:tcW w:w="2467" w:type="dxa"/>
            <w:vMerge/>
          </w:tcPr>
          <w:p w14:paraId="74B56B55" w14:textId="56A00016" w:rsidR="005A3D59" w:rsidRPr="005A3D59" w:rsidRDefault="005A3D59" w:rsidP="005A3D59">
            <w:pPr>
              <w:textAlignment w:val="center"/>
              <w:rPr>
                <w:rFonts w:eastAsia="Roboto UKEB" w:cs="Arial"/>
                <w:color w:val="auto"/>
                <w:kern w:val="24"/>
                <w:sz w:val="20"/>
                <w:lang w:val="en-ZA" w:eastAsia="en-ZA"/>
              </w:rPr>
            </w:pPr>
          </w:p>
        </w:tc>
        <w:tc>
          <w:tcPr>
            <w:tcW w:w="5538" w:type="dxa"/>
          </w:tcPr>
          <w:p w14:paraId="6EE384ED" w14:textId="5078F53E" w:rsidR="005A3D59" w:rsidRPr="005A3D59" w:rsidRDefault="005A3D59" w:rsidP="005A3D59">
            <w:pPr>
              <w:textAlignment w:val="center"/>
              <w:rPr>
                <w:rFonts w:eastAsia="Roboto UKEB" w:cs="Arial"/>
                <w:color w:val="auto"/>
                <w:kern w:val="24"/>
                <w:sz w:val="20"/>
                <w:lang w:val="en-ZA" w:eastAsia="en-ZA"/>
              </w:rPr>
            </w:pPr>
            <w:r w:rsidRPr="005A3D59">
              <w:rPr>
                <w:rFonts w:eastAsia="Roboto UKEB" w:cs="Arial"/>
                <w:color w:val="auto"/>
                <w:kern w:val="24"/>
                <w:sz w:val="20"/>
                <w:lang w:eastAsia="en-ZA"/>
              </w:rPr>
              <w:t xml:space="preserve">Develop accounting requirements for various types of pollutant pricing </w:t>
            </w:r>
            <w:r w:rsidRPr="005A3D59">
              <w:rPr>
                <w:rFonts w:eastAsia="Roboto UKEB" w:cs="Arial"/>
                <w:color w:val="auto"/>
                <w:kern w:val="24"/>
                <w:sz w:val="20"/>
                <w:lang w:val="en-ZA" w:eastAsia="en-ZA"/>
              </w:rPr>
              <w:t>mechanisms</w:t>
            </w:r>
          </w:p>
        </w:tc>
        <w:tc>
          <w:tcPr>
            <w:tcW w:w="1170" w:type="dxa"/>
          </w:tcPr>
          <w:p w14:paraId="7C61D6C3" w14:textId="4B6535D9" w:rsidR="005A3D59" w:rsidRPr="005A3D59" w:rsidRDefault="005A3D59" w:rsidP="005A3D59">
            <w:pPr>
              <w:rPr>
                <w:rFonts w:eastAsia="Roboto UKEB" w:cs="Arial"/>
                <w:color w:val="auto"/>
                <w:kern w:val="24"/>
                <w:sz w:val="20"/>
                <w:lang w:val="en-ZA" w:eastAsia="en-ZA"/>
              </w:rPr>
            </w:pPr>
            <w:r w:rsidRPr="005A3D59">
              <w:rPr>
                <w:rFonts w:eastAsia="Roboto UKEB" w:cs="Arial"/>
                <w:color w:val="auto"/>
                <w:kern w:val="24"/>
                <w:sz w:val="20"/>
                <w:lang w:eastAsia="en-ZA"/>
              </w:rPr>
              <w:t>Large</w:t>
            </w:r>
          </w:p>
        </w:tc>
      </w:tr>
      <w:tr w:rsidR="00987888" w:rsidRPr="005A3D59" w14:paraId="482866F5" w14:textId="77777777" w:rsidTr="004674F7">
        <w:trPr>
          <w:trHeight w:val="288"/>
        </w:trPr>
        <w:tc>
          <w:tcPr>
            <w:tcW w:w="2467" w:type="dxa"/>
            <w:shd w:val="clear" w:color="auto" w:fill="F5F5F2" w:themeFill="accent3"/>
          </w:tcPr>
          <w:p w14:paraId="24EE6E3B" w14:textId="77777777" w:rsidR="005A3D59" w:rsidRPr="005A3D59" w:rsidRDefault="005A3D59" w:rsidP="005A3D59">
            <w:pPr>
              <w:textAlignment w:val="center"/>
              <w:rPr>
                <w:rFonts w:eastAsia="Roboto UKEB" w:cs="Arial"/>
                <w:color w:val="auto"/>
                <w:kern w:val="24"/>
                <w:sz w:val="20"/>
                <w:lang w:eastAsia="en-ZA"/>
              </w:rPr>
            </w:pPr>
          </w:p>
        </w:tc>
        <w:tc>
          <w:tcPr>
            <w:tcW w:w="5538" w:type="dxa"/>
            <w:shd w:val="clear" w:color="auto" w:fill="F5F5F2" w:themeFill="accent3"/>
          </w:tcPr>
          <w:p w14:paraId="6A07A313" w14:textId="77777777" w:rsidR="005A3D59" w:rsidRPr="005A3D59" w:rsidRDefault="005A3D59" w:rsidP="005A3D59">
            <w:pPr>
              <w:textAlignment w:val="center"/>
              <w:rPr>
                <w:rFonts w:eastAsia="Roboto UKEB" w:cs="Arial"/>
                <w:color w:val="auto"/>
                <w:kern w:val="24"/>
                <w:sz w:val="20"/>
                <w:lang w:eastAsia="en-ZA"/>
              </w:rPr>
            </w:pPr>
          </w:p>
        </w:tc>
        <w:tc>
          <w:tcPr>
            <w:tcW w:w="1170" w:type="dxa"/>
            <w:shd w:val="clear" w:color="auto" w:fill="F5F5F2" w:themeFill="accent3"/>
          </w:tcPr>
          <w:p w14:paraId="42080158" w14:textId="77777777" w:rsidR="005A3D59" w:rsidRPr="005A3D59" w:rsidRDefault="005A3D59" w:rsidP="005A3D59">
            <w:pPr>
              <w:jc w:val="center"/>
              <w:rPr>
                <w:rFonts w:eastAsia="Roboto UKEB" w:cs="Arial"/>
                <w:color w:val="auto"/>
                <w:kern w:val="24"/>
                <w:sz w:val="20"/>
                <w:lang w:eastAsia="en-ZA"/>
              </w:rPr>
            </w:pPr>
          </w:p>
        </w:tc>
      </w:tr>
      <w:tr w:rsidR="002F6144" w:rsidRPr="005A3D59" w14:paraId="014F3596" w14:textId="77777777" w:rsidTr="004674F7">
        <w:trPr>
          <w:trHeight w:val="773"/>
        </w:trPr>
        <w:tc>
          <w:tcPr>
            <w:tcW w:w="2467" w:type="dxa"/>
            <w:vMerge w:val="restart"/>
          </w:tcPr>
          <w:p w14:paraId="5102A49D" w14:textId="64F5560F" w:rsidR="005A3D59" w:rsidRPr="005A3D59" w:rsidRDefault="005A3D59" w:rsidP="005925A7">
            <w:pPr>
              <w:pStyle w:val="ListParagraph"/>
              <w:numPr>
                <w:ilvl w:val="0"/>
                <w:numId w:val="9"/>
              </w:numPr>
              <w:textAlignment w:val="center"/>
              <w:rPr>
                <w:rFonts w:eastAsia="Roboto UKEB" w:cs="Arial"/>
                <w:color w:val="auto"/>
                <w:kern w:val="24"/>
                <w:sz w:val="20"/>
                <w:lang w:eastAsia="en-ZA"/>
              </w:rPr>
            </w:pPr>
            <w:r w:rsidRPr="005A3D59">
              <w:rPr>
                <w:rFonts w:eastAsia="Roboto UKEB" w:cs="Arial"/>
                <w:color w:val="auto"/>
                <w:kern w:val="24"/>
                <w:sz w:val="20"/>
                <w:lang w:eastAsia="en-ZA"/>
              </w:rPr>
              <w:t>Commodity transactions</w:t>
            </w:r>
          </w:p>
        </w:tc>
        <w:tc>
          <w:tcPr>
            <w:tcW w:w="5538" w:type="dxa"/>
          </w:tcPr>
          <w:p w14:paraId="6D71EC2E" w14:textId="580387C6" w:rsidR="005A3D59" w:rsidRPr="005A3D59" w:rsidRDefault="005A3D59" w:rsidP="005A3D59">
            <w:pPr>
              <w:textAlignment w:val="center"/>
              <w:rPr>
                <w:rFonts w:eastAsia="Roboto UKEB" w:cs="Arial"/>
                <w:color w:val="auto"/>
                <w:kern w:val="24"/>
                <w:sz w:val="20"/>
                <w:lang w:eastAsia="en-ZA"/>
              </w:rPr>
            </w:pPr>
            <w:r w:rsidRPr="005A3D59">
              <w:rPr>
                <w:rFonts w:eastAsia="Roboto UKEB" w:cs="Arial"/>
                <w:color w:val="auto"/>
                <w:kern w:val="24"/>
                <w:sz w:val="20"/>
                <w:lang w:eastAsia="en-ZA"/>
              </w:rPr>
              <w:t xml:space="preserve">Develop requirements for some of the most common types of transactions involving commodities—for example, commodity loans. </w:t>
            </w:r>
          </w:p>
        </w:tc>
        <w:tc>
          <w:tcPr>
            <w:tcW w:w="1170" w:type="dxa"/>
          </w:tcPr>
          <w:p w14:paraId="1A7C9B1D" w14:textId="5B499E41" w:rsidR="005A3D59" w:rsidRPr="005A3D59" w:rsidRDefault="00456E90" w:rsidP="005A3D59">
            <w:pPr>
              <w:textAlignment w:val="center"/>
              <w:rPr>
                <w:rFonts w:eastAsia="Roboto UKEB" w:cs="Arial"/>
                <w:color w:val="auto"/>
                <w:kern w:val="24"/>
                <w:sz w:val="20"/>
                <w:lang w:val="en-ZA" w:eastAsia="en-ZA"/>
              </w:rPr>
            </w:pPr>
            <w:r>
              <w:rPr>
                <w:rFonts w:eastAsia="Roboto UKEB" w:cs="Arial"/>
                <w:color w:val="auto"/>
                <w:kern w:val="24"/>
                <w:sz w:val="20"/>
                <w:lang w:val="en-ZA" w:eastAsia="en-ZA"/>
              </w:rPr>
              <w:t>Medium</w:t>
            </w:r>
          </w:p>
          <w:p w14:paraId="467E960C" w14:textId="39575564" w:rsidR="005A3D59" w:rsidRPr="005A3D59" w:rsidRDefault="005A3D59" w:rsidP="005A3D59">
            <w:pPr>
              <w:jc w:val="center"/>
              <w:rPr>
                <w:rFonts w:eastAsia="Roboto UKEB" w:cs="Arial"/>
                <w:color w:val="auto"/>
                <w:kern w:val="24"/>
                <w:sz w:val="20"/>
                <w:lang w:eastAsia="en-ZA"/>
              </w:rPr>
            </w:pPr>
            <w:r w:rsidRPr="005A3D59">
              <w:rPr>
                <w:rFonts w:eastAsia="Roboto UKEB" w:cs="Arial"/>
                <w:color w:val="auto"/>
                <w:kern w:val="24"/>
                <w:sz w:val="20"/>
                <w:lang w:eastAsia="en-ZA"/>
              </w:rPr>
              <w:t xml:space="preserve"> </w:t>
            </w:r>
          </w:p>
        </w:tc>
      </w:tr>
      <w:tr w:rsidR="002F6144" w:rsidRPr="005A3D59" w14:paraId="77059E38" w14:textId="6673BD76" w:rsidTr="004674F7">
        <w:trPr>
          <w:trHeight w:val="359"/>
        </w:trPr>
        <w:tc>
          <w:tcPr>
            <w:tcW w:w="2467" w:type="dxa"/>
            <w:vMerge/>
          </w:tcPr>
          <w:p w14:paraId="6BEEE979" w14:textId="3236E404" w:rsidR="005A3D59" w:rsidRPr="005A3D59" w:rsidRDefault="005A3D59" w:rsidP="005A3D59">
            <w:pPr>
              <w:textAlignment w:val="center"/>
              <w:rPr>
                <w:rFonts w:eastAsia="Roboto UKEB" w:cs="Arial"/>
                <w:color w:val="auto"/>
                <w:kern w:val="24"/>
                <w:sz w:val="20"/>
                <w:lang w:val="en-ZA" w:eastAsia="en-ZA"/>
              </w:rPr>
            </w:pPr>
          </w:p>
        </w:tc>
        <w:tc>
          <w:tcPr>
            <w:tcW w:w="5538" w:type="dxa"/>
          </w:tcPr>
          <w:p w14:paraId="0A72F3F4" w14:textId="6419DB73" w:rsidR="005A3D59" w:rsidRPr="005A3D59" w:rsidRDefault="005A3D59" w:rsidP="005A3D59">
            <w:pPr>
              <w:textAlignment w:val="center"/>
              <w:rPr>
                <w:rFonts w:eastAsia="Roboto UKEB" w:cs="Arial"/>
                <w:color w:val="auto"/>
                <w:kern w:val="24"/>
                <w:sz w:val="20"/>
                <w:lang w:val="en-ZA" w:eastAsia="en-ZA"/>
              </w:rPr>
            </w:pPr>
            <w:r w:rsidRPr="005A3D59">
              <w:rPr>
                <w:rFonts w:eastAsia="Roboto UKEB" w:cs="Arial"/>
                <w:color w:val="auto"/>
                <w:kern w:val="24"/>
                <w:sz w:val="20"/>
                <w:lang w:eastAsia="en-ZA"/>
              </w:rPr>
              <w:t>Undertake a broader project on commodity transactions.</w:t>
            </w:r>
          </w:p>
        </w:tc>
        <w:tc>
          <w:tcPr>
            <w:tcW w:w="1170" w:type="dxa"/>
          </w:tcPr>
          <w:p w14:paraId="0138336F" w14:textId="4F04B879" w:rsidR="005A3D59" w:rsidRPr="005A3D59" w:rsidRDefault="005A3D59" w:rsidP="005A3D59">
            <w:pPr>
              <w:rPr>
                <w:rFonts w:eastAsia="Roboto UKEB" w:cs="Arial"/>
                <w:color w:val="auto"/>
                <w:kern w:val="24"/>
                <w:sz w:val="20"/>
                <w:lang w:val="en-ZA" w:eastAsia="en-ZA"/>
              </w:rPr>
            </w:pPr>
            <w:r w:rsidRPr="005A3D59">
              <w:rPr>
                <w:rFonts w:eastAsia="Roboto UKEB" w:cs="Arial"/>
                <w:color w:val="auto"/>
                <w:kern w:val="24"/>
                <w:sz w:val="20"/>
                <w:lang w:eastAsia="en-ZA"/>
              </w:rPr>
              <w:t>Large</w:t>
            </w:r>
          </w:p>
        </w:tc>
      </w:tr>
      <w:tr w:rsidR="002F6144" w:rsidRPr="005A3D59" w14:paraId="58B926C3" w14:textId="0325DC44" w:rsidTr="004674F7">
        <w:trPr>
          <w:trHeight w:val="1079"/>
        </w:trPr>
        <w:tc>
          <w:tcPr>
            <w:tcW w:w="2467" w:type="dxa"/>
            <w:vMerge/>
          </w:tcPr>
          <w:p w14:paraId="2D93CE98" w14:textId="7BAB0EBC" w:rsidR="005A3D59" w:rsidRPr="005A3D59" w:rsidRDefault="005A3D59" w:rsidP="005A3D59">
            <w:pPr>
              <w:textAlignment w:val="center"/>
              <w:rPr>
                <w:rFonts w:eastAsia="Roboto UKEB" w:cs="Arial"/>
                <w:color w:val="auto"/>
                <w:kern w:val="24"/>
                <w:sz w:val="20"/>
                <w:lang w:val="en-ZA" w:eastAsia="en-ZA"/>
              </w:rPr>
            </w:pPr>
          </w:p>
        </w:tc>
        <w:tc>
          <w:tcPr>
            <w:tcW w:w="5538" w:type="dxa"/>
          </w:tcPr>
          <w:p w14:paraId="1A6967A0" w14:textId="7E64E1A3" w:rsidR="005A3D59" w:rsidRPr="005A3D59" w:rsidRDefault="005A3D59" w:rsidP="005A3D59">
            <w:pPr>
              <w:textAlignment w:val="center"/>
              <w:rPr>
                <w:rFonts w:eastAsia="Roboto UKEB" w:cs="Arial"/>
                <w:color w:val="auto"/>
                <w:kern w:val="24"/>
                <w:sz w:val="20"/>
                <w:lang w:val="en-ZA" w:eastAsia="en-ZA"/>
              </w:rPr>
            </w:pPr>
            <w:r w:rsidRPr="005A3D59">
              <w:rPr>
                <w:rFonts w:eastAsia="Roboto UKEB" w:cs="Arial"/>
                <w:color w:val="auto"/>
                <w:kern w:val="24"/>
                <w:sz w:val="20"/>
                <w:lang w:eastAsia="en-ZA"/>
              </w:rPr>
              <w:t xml:space="preserve">Develop a Standard to cover a range of non-financial tangible or intangible assets held solely for investment purposes (including some cryptocurrencies, </w:t>
            </w:r>
            <w:r w:rsidR="00865FB6" w:rsidRPr="005A3D59">
              <w:rPr>
                <w:rFonts w:eastAsia="Roboto UKEB" w:cs="Arial"/>
                <w:color w:val="auto"/>
                <w:kern w:val="24"/>
                <w:sz w:val="20"/>
                <w:lang w:eastAsia="en-ZA"/>
              </w:rPr>
              <w:t>commodities,</w:t>
            </w:r>
            <w:r w:rsidRPr="005A3D59">
              <w:rPr>
                <w:rFonts w:eastAsia="Roboto UKEB" w:cs="Arial"/>
                <w:color w:val="auto"/>
                <w:kern w:val="24"/>
                <w:sz w:val="20"/>
                <w:lang w:eastAsia="en-ZA"/>
              </w:rPr>
              <w:t xml:space="preserve"> and emission allowances).</w:t>
            </w:r>
          </w:p>
        </w:tc>
        <w:tc>
          <w:tcPr>
            <w:tcW w:w="1170" w:type="dxa"/>
          </w:tcPr>
          <w:p w14:paraId="5E7FDC2A" w14:textId="09353C81" w:rsidR="005A3D59" w:rsidRPr="005A3D59" w:rsidRDefault="005A3D59" w:rsidP="005A3D59">
            <w:pPr>
              <w:rPr>
                <w:rFonts w:eastAsia="Roboto UKEB" w:cs="Arial"/>
                <w:color w:val="auto"/>
                <w:kern w:val="24"/>
                <w:sz w:val="20"/>
                <w:lang w:val="en-ZA" w:eastAsia="en-ZA"/>
              </w:rPr>
            </w:pPr>
            <w:r w:rsidRPr="005A3D59">
              <w:rPr>
                <w:rFonts w:eastAsia="Roboto UKEB" w:cs="Arial"/>
                <w:color w:val="auto"/>
                <w:kern w:val="24"/>
                <w:sz w:val="20"/>
                <w:lang w:eastAsia="en-ZA"/>
              </w:rPr>
              <w:t>Large</w:t>
            </w:r>
          </w:p>
        </w:tc>
      </w:tr>
      <w:tr w:rsidR="00987888" w:rsidRPr="005A3D59" w14:paraId="22723014" w14:textId="77777777" w:rsidTr="004674F7">
        <w:trPr>
          <w:trHeight w:val="288"/>
        </w:trPr>
        <w:tc>
          <w:tcPr>
            <w:tcW w:w="2467" w:type="dxa"/>
            <w:shd w:val="clear" w:color="auto" w:fill="F5F5F2" w:themeFill="accent3"/>
          </w:tcPr>
          <w:p w14:paraId="74DC5B27" w14:textId="77777777" w:rsidR="005A3D59" w:rsidRPr="005A3D59" w:rsidRDefault="005A3D59" w:rsidP="005A3D59">
            <w:pPr>
              <w:textAlignment w:val="center"/>
              <w:rPr>
                <w:rFonts w:eastAsia="Roboto UKEB" w:cs="Arial"/>
                <w:color w:val="auto"/>
                <w:kern w:val="24"/>
                <w:sz w:val="20"/>
                <w:lang w:eastAsia="en-ZA"/>
              </w:rPr>
            </w:pPr>
          </w:p>
        </w:tc>
        <w:tc>
          <w:tcPr>
            <w:tcW w:w="5538" w:type="dxa"/>
            <w:shd w:val="clear" w:color="auto" w:fill="F5F5F2" w:themeFill="accent3"/>
          </w:tcPr>
          <w:p w14:paraId="44A1D7C9" w14:textId="77777777" w:rsidR="005A3D59" w:rsidRPr="005A3D59" w:rsidRDefault="005A3D59" w:rsidP="005A3D59">
            <w:pPr>
              <w:textAlignment w:val="center"/>
              <w:rPr>
                <w:rFonts w:eastAsia="Roboto UKEB" w:cs="Arial"/>
                <w:color w:val="auto"/>
                <w:kern w:val="24"/>
                <w:sz w:val="20"/>
                <w:lang w:eastAsia="en-ZA"/>
              </w:rPr>
            </w:pPr>
          </w:p>
        </w:tc>
        <w:tc>
          <w:tcPr>
            <w:tcW w:w="1170" w:type="dxa"/>
            <w:shd w:val="clear" w:color="auto" w:fill="F5F5F2" w:themeFill="accent3"/>
          </w:tcPr>
          <w:p w14:paraId="0FE01429" w14:textId="77777777" w:rsidR="005A3D59" w:rsidRPr="005A3D59" w:rsidRDefault="005A3D59" w:rsidP="005A3D59">
            <w:pPr>
              <w:jc w:val="center"/>
              <w:rPr>
                <w:rFonts w:eastAsia="Roboto UKEB" w:cs="Arial"/>
                <w:color w:val="auto"/>
                <w:kern w:val="24"/>
                <w:sz w:val="20"/>
                <w:lang w:eastAsia="en-ZA"/>
              </w:rPr>
            </w:pPr>
          </w:p>
        </w:tc>
      </w:tr>
      <w:tr w:rsidR="002F6144" w:rsidRPr="005A3D59" w14:paraId="1B84F361" w14:textId="77777777" w:rsidTr="000638AC">
        <w:trPr>
          <w:trHeight w:val="548"/>
        </w:trPr>
        <w:tc>
          <w:tcPr>
            <w:tcW w:w="2467" w:type="dxa"/>
            <w:vMerge w:val="restart"/>
          </w:tcPr>
          <w:p w14:paraId="11AB382D" w14:textId="34099249" w:rsidR="00987888" w:rsidRPr="00987888" w:rsidRDefault="00987888" w:rsidP="005925A7">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Cryptocurrencies and related transactions </w:t>
            </w:r>
          </w:p>
        </w:tc>
        <w:tc>
          <w:tcPr>
            <w:tcW w:w="5538" w:type="dxa"/>
          </w:tcPr>
          <w:p w14:paraId="7096BFB5" w14:textId="02F9D31A" w:rsidR="00987888" w:rsidRPr="000638AC" w:rsidRDefault="00987888" w:rsidP="00987888">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Develop additional disclosure requirements in IAS 38 about the</w:t>
            </w:r>
            <w:r w:rsidR="000638AC">
              <w:rPr>
                <w:rFonts w:eastAsia="Roboto UKEB" w:cs="Arial"/>
                <w:color w:val="auto"/>
                <w:kern w:val="24"/>
                <w:sz w:val="20"/>
                <w:lang w:eastAsia="en-ZA"/>
              </w:rPr>
              <w:t xml:space="preserve"> </w:t>
            </w:r>
            <w:r w:rsidRPr="00987888">
              <w:rPr>
                <w:rFonts w:eastAsia="Roboto UKEB" w:cs="Arial"/>
                <w:color w:val="auto"/>
                <w:kern w:val="24"/>
                <w:sz w:val="20"/>
                <w:lang w:eastAsia="en-ZA"/>
              </w:rPr>
              <w:t>fair value of cryptocurrencies</w:t>
            </w:r>
          </w:p>
        </w:tc>
        <w:tc>
          <w:tcPr>
            <w:tcW w:w="1170" w:type="dxa"/>
          </w:tcPr>
          <w:p w14:paraId="624566C8" w14:textId="70B690CA" w:rsidR="00987888" w:rsidRPr="00987888" w:rsidRDefault="00987888" w:rsidP="00987888">
            <w:pPr>
              <w:rPr>
                <w:rFonts w:eastAsia="Roboto UKEB" w:cs="Arial"/>
                <w:color w:val="auto"/>
                <w:kern w:val="24"/>
                <w:sz w:val="20"/>
                <w:lang w:eastAsia="en-ZA"/>
              </w:rPr>
            </w:pPr>
            <w:r w:rsidRPr="00987888">
              <w:rPr>
                <w:rFonts w:eastAsia="Roboto UKEB" w:cs="Arial"/>
                <w:color w:val="auto"/>
                <w:kern w:val="24"/>
                <w:sz w:val="20"/>
                <w:lang w:eastAsia="en-ZA"/>
              </w:rPr>
              <w:t>Small</w:t>
            </w:r>
          </w:p>
        </w:tc>
      </w:tr>
      <w:tr w:rsidR="002F6144" w:rsidRPr="00987888" w14:paraId="662F98DB" w14:textId="69DBC04E" w:rsidTr="004674F7">
        <w:trPr>
          <w:trHeight w:val="1079"/>
        </w:trPr>
        <w:tc>
          <w:tcPr>
            <w:tcW w:w="2467" w:type="dxa"/>
            <w:vMerge/>
          </w:tcPr>
          <w:p w14:paraId="13E63EFE" w14:textId="475B5880" w:rsidR="00987888" w:rsidRPr="00987888" w:rsidRDefault="00987888" w:rsidP="00987888">
            <w:pPr>
              <w:textAlignment w:val="center"/>
              <w:rPr>
                <w:rFonts w:eastAsia="Roboto UKEB" w:cs="Arial"/>
                <w:color w:val="auto"/>
                <w:kern w:val="24"/>
                <w:sz w:val="20"/>
                <w:lang w:val="en-ZA" w:eastAsia="en-ZA"/>
              </w:rPr>
            </w:pPr>
          </w:p>
        </w:tc>
        <w:tc>
          <w:tcPr>
            <w:tcW w:w="5538" w:type="dxa"/>
          </w:tcPr>
          <w:p w14:paraId="030B5E5C" w14:textId="33757E7E" w:rsidR="00987888" w:rsidRPr="00987888" w:rsidRDefault="00987888" w:rsidP="00987888">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 xml:space="preserve">Permit more intangible assets (including cryptocurrencies) to be measured at fair value </w:t>
            </w:r>
            <w:r w:rsidRPr="00987888">
              <w:rPr>
                <w:rFonts w:eastAsia="Roboto UKEB" w:cs="Arial"/>
                <w:color w:val="auto"/>
                <w:kern w:val="24"/>
                <w:sz w:val="20"/>
                <w:lang w:val="en-ZA" w:eastAsia="en-ZA"/>
              </w:rPr>
              <w:t xml:space="preserve">and consider whether recognising </w:t>
            </w:r>
            <w:r w:rsidRPr="00987888">
              <w:rPr>
                <w:rFonts w:eastAsia="Roboto UKEB" w:cs="Arial"/>
                <w:color w:val="auto"/>
                <w:kern w:val="24"/>
                <w:sz w:val="20"/>
                <w:lang w:eastAsia="en-ZA"/>
              </w:rPr>
              <w:t xml:space="preserve">changes in fair value in the statement of profit or loss is </w:t>
            </w:r>
            <w:r w:rsidRPr="00987888">
              <w:rPr>
                <w:rFonts w:eastAsia="Roboto UKEB" w:cs="Arial"/>
                <w:color w:val="auto"/>
                <w:kern w:val="24"/>
                <w:sz w:val="20"/>
                <w:lang w:val="en-ZA" w:eastAsia="en-ZA"/>
              </w:rPr>
              <w:t>appropriate in some circumstances</w:t>
            </w:r>
          </w:p>
        </w:tc>
        <w:tc>
          <w:tcPr>
            <w:tcW w:w="1170" w:type="dxa"/>
          </w:tcPr>
          <w:p w14:paraId="2E6D557E" w14:textId="3D8278B2" w:rsidR="00987888" w:rsidRPr="00987888" w:rsidRDefault="00987888" w:rsidP="00987888">
            <w:pPr>
              <w:rPr>
                <w:rFonts w:eastAsia="Roboto UKEB" w:cs="Arial"/>
                <w:color w:val="auto"/>
                <w:kern w:val="24"/>
                <w:sz w:val="20"/>
                <w:lang w:val="en-ZA" w:eastAsia="en-ZA"/>
              </w:rPr>
            </w:pPr>
            <w:r w:rsidRPr="00987888">
              <w:rPr>
                <w:rFonts w:eastAsia="Roboto UKEB" w:cs="Arial"/>
                <w:color w:val="auto"/>
                <w:kern w:val="24"/>
                <w:sz w:val="20"/>
                <w:lang w:eastAsia="en-ZA"/>
              </w:rPr>
              <w:t>Medium</w:t>
            </w:r>
          </w:p>
        </w:tc>
      </w:tr>
      <w:tr w:rsidR="002F6144" w:rsidRPr="00987888" w14:paraId="61719738" w14:textId="515D2519" w:rsidTr="004674F7">
        <w:trPr>
          <w:trHeight w:val="629"/>
        </w:trPr>
        <w:tc>
          <w:tcPr>
            <w:tcW w:w="2467" w:type="dxa"/>
            <w:vMerge/>
          </w:tcPr>
          <w:p w14:paraId="4B07F48F" w14:textId="53F36E6B" w:rsidR="00987888" w:rsidRPr="00987888" w:rsidRDefault="00987888" w:rsidP="00987888">
            <w:pPr>
              <w:textAlignment w:val="center"/>
              <w:rPr>
                <w:rFonts w:eastAsia="Roboto UKEB" w:cs="Arial"/>
                <w:color w:val="auto"/>
                <w:kern w:val="24"/>
                <w:sz w:val="20"/>
                <w:lang w:val="en-ZA" w:eastAsia="en-ZA"/>
              </w:rPr>
            </w:pPr>
          </w:p>
        </w:tc>
        <w:tc>
          <w:tcPr>
            <w:tcW w:w="5538" w:type="dxa"/>
          </w:tcPr>
          <w:p w14:paraId="0B3DEB1E" w14:textId="26EA238A" w:rsidR="00987888" w:rsidRPr="00987888" w:rsidRDefault="00987888" w:rsidP="00987888">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Consider amending the scope of the Standards for financial instruments to include cryptocurrencies</w:t>
            </w:r>
          </w:p>
        </w:tc>
        <w:tc>
          <w:tcPr>
            <w:tcW w:w="1170" w:type="dxa"/>
          </w:tcPr>
          <w:p w14:paraId="7D650127" w14:textId="7F622E09" w:rsidR="00987888" w:rsidRPr="00987888" w:rsidRDefault="00987888" w:rsidP="00987888">
            <w:pPr>
              <w:rPr>
                <w:rFonts w:eastAsia="Roboto UKEB" w:cs="Arial"/>
                <w:color w:val="auto"/>
                <w:kern w:val="24"/>
                <w:sz w:val="20"/>
                <w:lang w:val="en-ZA" w:eastAsia="en-ZA"/>
              </w:rPr>
            </w:pPr>
            <w:r w:rsidRPr="00987888">
              <w:rPr>
                <w:rFonts w:eastAsia="Roboto UKEB" w:cs="Arial"/>
                <w:color w:val="auto"/>
                <w:kern w:val="24"/>
                <w:sz w:val="20"/>
                <w:lang w:eastAsia="en-ZA"/>
              </w:rPr>
              <w:t>Medium</w:t>
            </w:r>
          </w:p>
        </w:tc>
      </w:tr>
      <w:tr w:rsidR="002F6144" w:rsidRPr="00987888" w14:paraId="4A58824A" w14:textId="748D055B" w:rsidTr="004674F7">
        <w:trPr>
          <w:trHeight w:val="593"/>
        </w:trPr>
        <w:tc>
          <w:tcPr>
            <w:tcW w:w="2467" w:type="dxa"/>
            <w:vMerge/>
          </w:tcPr>
          <w:p w14:paraId="5DC31775" w14:textId="71E2D74A" w:rsidR="00987888" w:rsidRPr="00987888" w:rsidRDefault="00987888" w:rsidP="00987888">
            <w:pPr>
              <w:textAlignment w:val="center"/>
              <w:rPr>
                <w:rFonts w:eastAsia="Roboto UKEB" w:cs="Arial"/>
                <w:color w:val="auto"/>
                <w:kern w:val="24"/>
                <w:sz w:val="20"/>
                <w:lang w:val="en-ZA" w:eastAsia="en-ZA"/>
              </w:rPr>
            </w:pPr>
          </w:p>
        </w:tc>
        <w:tc>
          <w:tcPr>
            <w:tcW w:w="5538" w:type="dxa"/>
          </w:tcPr>
          <w:p w14:paraId="2067D4B9" w14:textId="3E2730B7" w:rsidR="00987888" w:rsidRPr="00987888" w:rsidRDefault="00987888" w:rsidP="00987888">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Develop a Standard to cover a range of non-financial tangible or intangible assets held solely for investment purposes</w:t>
            </w:r>
          </w:p>
        </w:tc>
        <w:tc>
          <w:tcPr>
            <w:tcW w:w="1170" w:type="dxa"/>
          </w:tcPr>
          <w:p w14:paraId="61135816" w14:textId="0084A577" w:rsidR="00987888" w:rsidRPr="00987888" w:rsidRDefault="00987888" w:rsidP="00987888">
            <w:pPr>
              <w:rPr>
                <w:rFonts w:eastAsia="Roboto UKEB" w:cs="Arial"/>
                <w:color w:val="auto"/>
                <w:kern w:val="24"/>
                <w:sz w:val="20"/>
                <w:lang w:val="en-ZA" w:eastAsia="en-ZA"/>
              </w:rPr>
            </w:pPr>
            <w:r w:rsidRPr="00987888">
              <w:rPr>
                <w:rFonts w:eastAsia="Roboto UKEB" w:cs="Arial"/>
                <w:color w:val="auto"/>
                <w:kern w:val="24"/>
                <w:sz w:val="20"/>
                <w:lang w:eastAsia="en-ZA"/>
              </w:rPr>
              <w:t>Large</w:t>
            </w:r>
          </w:p>
        </w:tc>
      </w:tr>
      <w:tr w:rsidR="00987888" w:rsidRPr="005A3D59" w14:paraId="05526B57" w14:textId="77777777" w:rsidTr="004674F7">
        <w:trPr>
          <w:trHeight w:val="288"/>
        </w:trPr>
        <w:tc>
          <w:tcPr>
            <w:tcW w:w="2467" w:type="dxa"/>
            <w:shd w:val="clear" w:color="auto" w:fill="F5F5F2" w:themeFill="accent3"/>
          </w:tcPr>
          <w:p w14:paraId="4BD6B05E" w14:textId="77777777" w:rsidR="00987888" w:rsidRPr="005A3D59" w:rsidRDefault="00987888" w:rsidP="00987888">
            <w:pPr>
              <w:textAlignment w:val="center"/>
              <w:rPr>
                <w:rFonts w:eastAsia="Roboto UKEB" w:cs="Arial"/>
                <w:color w:val="auto"/>
                <w:kern w:val="24"/>
                <w:sz w:val="20"/>
                <w:lang w:eastAsia="en-ZA"/>
              </w:rPr>
            </w:pPr>
          </w:p>
        </w:tc>
        <w:tc>
          <w:tcPr>
            <w:tcW w:w="5538" w:type="dxa"/>
            <w:shd w:val="clear" w:color="auto" w:fill="F5F5F2" w:themeFill="accent3"/>
          </w:tcPr>
          <w:p w14:paraId="0638EB15" w14:textId="77777777" w:rsidR="00987888" w:rsidRPr="005A3D59" w:rsidRDefault="00987888" w:rsidP="00987888">
            <w:pPr>
              <w:textAlignment w:val="center"/>
              <w:rPr>
                <w:rFonts w:eastAsia="Roboto UKEB" w:cs="Arial"/>
                <w:color w:val="auto"/>
                <w:kern w:val="24"/>
                <w:sz w:val="20"/>
                <w:lang w:eastAsia="en-ZA"/>
              </w:rPr>
            </w:pPr>
          </w:p>
        </w:tc>
        <w:tc>
          <w:tcPr>
            <w:tcW w:w="1170" w:type="dxa"/>
            <w:shd w:val="clear" w:color="auto" w:fill="F5F5F2" w:themeFill="accent3"/>
          </w:tcPr>
          <w:p w14:paraId="509F2B71" w14:textId="77777777" w:rsidR="00987888" w:rsidRPr="005A3D59" w:rsidRDefault="00987888" w:rsidP="00987888">
            <w:pPr>
              <w:jc w:val="center"/>
              <w:rPr>
                <w:rFonts w:eastAsia="Roboto UKEB" w:cs="Arial"/>
                <w:color w:val="auto"/>
                <w:kern w:val="24"/>
                <w:sz w:val="20"/>
                <w:lang w:eastAsia="en-ZA"/>
              </w:rPr>
            </w:pPr>
          </w:p>
        </w:tc>
      </w:tr>
      <w:tr w:rsidR="002F6144" w:rsidRPr="00987888" w14:paraId="1FCE8ED1" w14:textId="77777777" w:rsidTr="004674F7">
        <w:trPr>
          <w:trHeight w:val="288"/>
        </w:trPr>
        <w:tc>
          <w:tcPr>
            <w:tcW w:w="2467" w:type="dxa"/>
            <w:vMerge w:val="restart"/>
          </w:tcPr>
          <w:p w14:paraId="45ECA18D" w14:textId="47D150CB" w:rsidR="00987888" w:rsidRPr="00987888" w:rsidRDefault="00987888" w:rsidP="005925A7">
            <w:pPr>
              <w:pStyle w:val="ListParagraph"/>
              <w:numPr>
                <w:ilvl w:val="0"/>
                <w:numId w:val="9"/>
              </w:numPr>
              <w:textAlignment w:val="center"/>
              <w:rPr>
                <w:rFonts w:eastAsia="Roboto UKEB" w:cs="Arial"/>
                <w:color w:val="auto"/>
                <w:kern w:val="24"/>
                <w:sz w:val="20"/>
                <w:lang w:eastAsia="en-ZA"/>
              </w:rPr>
            </w:pPr>
            <w:r w:rsidRPr="00987888">
              <w:rPr>
                <w:rFonts w:eastAsia="Roboto UKEB" w:cs="Arial"/>
                <w:color w:val="auto"/>
                <w:kern w:val="24"/>
                <w:sz w:val="20"/>
                <w:lang w:eastAsia="en-ZA"/>
              </w:rPr>
              <w:t>Post-implementation Review (PIR) of IFRS 5</w:t>
            </w:r>
          </w:p>
        </w:tc>
        <w:tc>
          <w:tcPr>
            <w:tcW w:w="5538" w:type="dxa"/>
          </w:tcPr>
          <w:p w14:paraId="21FE79DD" w14:textId="643C9A5F" w:rsidR="00987888" w:rsidRPr="00987888" w:rsidRDefault="00987888" w:rsidP="00987888">
            <w:pPr>
              <w:textAlignment w:val="center"/>
              <w:rPr>
                <w:rFonts w:eastAsia="Roboto UKEB" w:cs="Arial"/>
                <w:color w:val="auto"/>
                <w:kern w:val="24"/>
                <w:sz w:val="20"/>
                <w:lang w:eastAsia="en-ZA"/>
              </w:rPr>
            </w:pPr>
            <w:r w:rsidRPr="00987888">
              <w:rPr>
                <w:rFonts w:eastAsia="Roboto UKEB" w:cs="Arial"/>
                <w:color w:val="auto"/>
                <w:kern w:val="24"/>
                <w:sz w:val="20"/>
                <w:lang w:eastAsia="en-ZA"/>
              </w:rPr>
              <w:t xml:space="preserve">Reconsider the single line-item presentation and develop more effective disclosures </w:t>
            </w:r>
          </w:p>
        </w:tc>
        <w:tc>
          <w:tcPr>
            <w:tcW w:w="1170" w:type="dxa"/>
          </w:tcPr>
          <w:p w14:paraId="3A95CC62" w14:textId="325DB221" w:rsidR="00987888" w:rsidRPr="00987888" w:rsidRDefault="00456E90" w:rsidP="00987888">
            <w:pPr>
              <w:rPr>
                <w:rFonts w:eastAsia="Roboto UKEB" w:cs="Arial"/>
                <w:color w:val="auto"/>
                <w:kern w:val="24"/>
                <w:sz w:val="20"/>
                <w:lang w:eastAsia="en-ZA"/>
              </w:rPr>
            </w:pPr>
            <w:r>
              <w:rPr>
                <w:rFonts w:eastAsia="Roboto UKEB" w:cs="Arial"/>
                <w:color w:val="auto"/>
                <w:kern w:val="24"/>
                <w:sz w:val="20"/>
                <w:lang w:eastAsia="en-ZA"/>
              </w:rPr>
              <w:t>Medium</w:t>
            </w:r>
          </w:p>
        </w:tc>
      </w:tr>
      <w:tr w:rsidR="002F6144" w:rsidRPr="00987888" w14:paraId="3B0BB74F" w14:textId="5150ECCC" w:rsidTr="004674F7">
        <w:trPr>
          <w:trHeight w:val="584"/>
        </w:trPr>
        <w:tc>
          <w:tcPr>
            <w:tcW w:w="2467" w:type="dxa"/>
            <w:vMerge/>
          </w:tcPr>
          <w:p w14:paraId="195B1225" w14:textId="28A29C87" w:rsidR="00987888" w:rsidRPr="00987888" w:rsidRDefault="00987888" w:rsidP="00987888">
            <w:pPr>
              <w:textAlignment w:val="center"/>
              <w:rPr>
                <w:rFonts w:eastAsia="Roboto UKEB" w:cs="Arial"/>
                <w:color w:val="auto"/>
                <w:kern w:val="24"/>
                <w:sz w:val="20"/>
                <w:lang w:val="en-ZA" w:eastAsia="en-ZA"/>
              </w:rPr>
            </w:pPr>
          </w:p>
        </w:tc>
        <w:tc>
          <w:tcPr>
            <w:tcW w:w="5538" w:type="dxa"/>
          </w:tcPr>
          <w:p w14:paraId="55D3D7D4" w14:textId="16D7E45E" w:rsidR="00987888" w:rsidRPr="00987888" w:rsidRDefault="00987888" w:rsidP="00987888">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 xml:space="preserve">Undertake a comprehensive review to address all concerns </w:t>
            </w:r>
          </w:p>
        </w:tc>
        <w:tc>
          <w:tcPr>
            <w:tcW w:w="1170" w:type="dxa"/>
          </w:tcPr>
          <w:p w14:paraId="28992973" w14:textId="7360977A" w:rsidR="00987888" w:rsidRPr="00987888" w:rsidRDefault="00987888" w:rsidP="00987888">
            <w:pPr>
              <w:rPr>
                <w:rFonts w:eastAsia="Roboto UKEB" w:cs="Arial"/>
                <w:color w:val="auto"/>
                <w:kern w:val="24"/>
                <w:sz w:val="20"/>
                <w:lang w:val="en-ZA" w:eastAsia="en-ZA"/>
              </w:rPr>
            </w:pPr>
            <w:r w:rsidRPr="00987888">
              <w:rPr>
                <w:rFonts w:eastAsia="Roboto UKEB" w:cs="Arial"/>
                <w:color w:val="auto"/>
                <w:kern w:val="24"/>
                <w:sz w:val="20"/>
                <w:lang w:eastAsia="en-ZA"/>
              </w:rPr>
              <w:t>Medium</w:t>
            </w:r>
          </w:p>
        </w:tc>
      </w:tr>
      <w:tr w:rsidR="00987888" w:rsidRPr="005A3D59" w14:paraId="068C404F" w14:textId="77777777" w:rsidTr="004674F7">
        <w:trPr>
          <w:trHeight w:val="288"/>
        </w:trPr>
        <w:tc>
          <w:tcPr>
            <w:tcW w:w="2467" w:type="dxa"/>
            <w:shd w:val="clear" w:color="auto" w:fill="F5F5F2" w:themeFill="accent3"/>
          </w:tcPr>
          <w:p w14:paraId="697BC5AA" w14:textId="77777777" w:rsidR="00987888" w:rsidRPr="005A3D59" w:rsidRDefault="00987888" w:rsidP="00987888">
            <w:pPr>
              <w:textAlignment w:val="center"/>
              <w:rPr>
                <w:rFonts w:eastAsia="Roboto UKEB" w:cs="Arial"/>
                <w:color w:val="auto"/>
                <w:kern w:val="24"/>
                <w:sz w:val="20"/>
                <w:lang w:eastAsia="en-ZA"/>
              </w:rPr>
            </w:pPr>
          </w:p>
        </w:tc>
        <w:tc>
          <w:tcPr>
            <w:tcW w:w="5538" w:type="dxa"/>
            <w:shd w:val="clear" w:color="auto" w:fill="F5F5F2" w:themeFill="accent3"/>
          </w:tcPr>
          <w:p w14:paraId="4C5AEC9D" w14:textId="77777777" w:rsidR="00987888" w:rsidRPr="005A3D59" w:rsidRDefault="00987888" w:rsidP="00987888">
            <w:pPr>
              <w:textAlignment w:val="center"/>
              <w:rPr>
                <w:rFonts w:eastAsia="Roboto UKEB" w:cs="Arial"/>
                <w:color w:val="auto"/>
                <w:kern w:val="24"/>
                <w:sz w:val="20"/>
                <w:lang w:eastAsia="en-ZA"/>
              </w:rPr>
            </w:pPr>
          </w:p>
        </w:tc>
        <w:tc>
          <w:tcPr>
            <w:tcW w:w="1170" w:type="dxa"/>
            <w:shd w:val="clear" w:color="auto" w:fill="F5F5F2" w:themeFill="accent3"/>
          </w:tcPr>
          <w:p w14:paraId="5734256A" w14:textId="77777777" w:rsidR="00987888" w:rsidRPr="005A3D59" w:rsidRDefault="00987888" w:rsidP="00987888">
            <w:pPr>
              <w:jc w:val="center"/>
              <w:rPr>
                <w:rFonts w:eastAsia="Roboto UKEB" w:cs="Arial"/>
                <w:color w:val="auto"/>
                <w:kern w:val="24"/>
                <w:sz w:val="20"/>
                <w:lang w:eastAsia="en-ZA"/>
              </w:rPr>
            </w:pPr>
          </w:p>
        </w:tc>
      </w:tr>
      <w:tr w:rsidR="00980BA1" w:rsidRPr="005A3D59" w14:paraId="1B98FBB7" w14:textId="77777777" w:rsidTr="004674F7">
        <w:trPr>
          <w:trHeight w:val="773"/>
        </w:trPr>
        <w:tc>
          <w:tcPr>
            <w:tcW w:w="2467" w:type="dxa"/>
          </w:tcPr>
          <w:p w14:paraId="4D8BC049" w14:textId="522ACA48" w:rsidR="00987888" w:rsidRPr="00987888" w:rsidRDefault="00987888" w:rsidP="005925A7">
            <w:pPr>
              <w:pStyle w:val="ListParagraph"/>
              <w:numPr>
                <w:ilvl w:val="0"/>
                <w:numId w:val="9"/>
              </w:numPr>
              <w:textAlignment w:val="center"/>
              <w:rPr>
                <w:rFonts w:eastAsia="Roboto UKEB" w:cs="Arial"/>
                <w:color w:val="auto"/>
                <w:kern w:val="24"/>
                <w:sz w:val="20"/>
                <w:lang w:eastAsia="en-ZA"/>
              </w:rPr>
            </w:pPr>
            <w:r w:rsidRPr="00987888">
              <w:rPr>
                <w:rFonts w:eastAsia="Roboto UKEB" w:cs="Arial"/>
                <w:color w:val="auto"/>
                <w:kern w:val="24"/>
                <w:sz w:val="20"/>
                <w:lang w:eastAsia="en-ZA"/>
              </w:rPr>
              <w:t>Discount rates and related matters</w:t>
            </w:r>
          </w:p>
        </w:tc>
        <w:tc>
          <w:tcPr>
            <w:tcW w:w="5538" w:type="dxa"/>
          </w:tcPr>
          <w:p w14:paraId="055C8318" w14:textId="44A0E3C6" w:rsidR="00987888" w:rsidRPr="00987888" w:rsidRDefault="00987888" w:rsidP="00987888">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A project to reconsider requirements in all IFRS Standards and, when appropriate, eliminate variations in present value measurement techniques</w:t>
            </w:r>
          </w:p>
        </w:tc>
        <w:tc>
          <w:tcPr>
            <w:tcW w:w="1170" w:type="dxa"/>
          </w:tcPr>
          <w:p w14:paraId="491DE9A3" w14:textId="247B9DFF" w:rsidR="00987888" w:rsidRPr="005A3D59" w:rsidRDefault="00987888" w:rsidP="00987888">
            <w:pPr>
              <w:rPr>
                <w:rFonts w:eastAsia="Roboto UKEB" w:cs="Arial"/>
                <w:color w:val="auto"/>
                <w:kern w:val="24"/>
                <w:sz w:val="20"/>
                <w:lang w:eastAsia="en-ZA"/>
              </w:rPr>
            </w:pPr>
            <w:r>
              <w:rPr>
                <w:rFonts w:eastAsia="Roboto UKEB" w:cs="Arial"/>
                <w:color w:val="auto"/>
                <w:kern w:val="24"/>
                <w:sz w:val="20"/>
                <w:lang w:eastAsia="en-ZA"/>
              </w:rPr>
              <w:t xml:space="preserve">Large </w:t>
            </w:r>
          </w:p>
        </w:tc>
      </w:tr>
      <w:tr w:rsidR="00987888" w:rsidRPr="005A3D59" w14:paraId="5B22E95A" w14:textId="77777777" w:rsidTr="004674F7">
        <w:trPr>
          <w:trHeight w:val="288"/>
        </w:trPr>
        <w:tc>
          <w:tcPr>
            <w:tcW w:w="2467" w:type="dxa"/>
            <w:shd w:val="clear" w:color="auto" w:fill="F5F5F2" w:themeFill="accent3"/>
          </w:tcPr>
          <w:p w14:paraId="71367C3F" w14:textId="77777777" w:rsidR="00987888" w:rsidRPr="005A3D59" w:rsidRDefault="00987888" w:rsidP="00987888">
            <w:pPr>
              <w:textAlignment w:val="center"/>
              <w:rPr>
                <w:rFonts w:eastAsia="Roboto UKEB" w:cs="Arial"/>
                <w:color w:val="auto"/>
                <w:kern w:val="24"/>
                <w:sz w:val="20"/>
                <w:lang w:eastAsia="en-ZA"/>
              </w:rPr>
            </w:pPr>
          </w:p>
        </w:tc>
        <w:tc>
          <w:tcPr>
            <w:tcW w:w="5538" w:type="dxa"/>
            <w:shd w:val="clear" w:color="auto" w:fill="F5F5F2" w:themeFill="accent3"/>
          </w:tcPr>
          <w:p w14:paraId="52496569" w14:textId="77777777" w:rsidR="00987888" w:rsidRPr="005A3D59" w:rsidRDefault="00987888" w:rsidP="00987888">
            <w:pPr>
              <w:textAlignment w:val="center"/>
              <w:rPr>
                <w:rFonts w:eastAsia="Roboto UKEB" w:cs="Arial"/>
                <w:color w:val="auto"/>
                <w:kern w:val="24"/>
                <w:sz w:val="20"/>
                <w:lang w:eastAsia="en-ZA"/>
              </w:rPr>
            </w:pPr>
          </w:p>
        </w:tc>
        <w:tc>
          <w:tcPr>
            <w:tcW w:w="1170" w:type="dxa"/>
            <w:shd w:val="clear" w:color="auto" w:fill="F5F5F2" w:themeFill="accent3"/>
          </w:tcPr>
          <w:p w14:paraId="64C455F8" w14:textId="77777777" w:rsidR="00987888" w:rsidRPr="005A3D59" w:rsidRDefault="00987888" w:rsidP="00987888">
            <w:pPr>
              <w:jc w:val="center"/>
              <w:rPr>
                <w:rFonts w:eastAsia="Roboto UKEB" w:cs="Arial"/>
                <w:color w:val="auto"/>
                <w:kern w:val="24"/>
                <w:sz w:val="20"/>
                <w:lang w:eastAsia="en-ZA"/>
              </w:rPr>
            </w:pPr>
          </w:p>
        </w:tc>
      </w:tr>
      <w:tr w:rsidR="002F6144" w:rsidRPr="00987888" w14:paraId="6BA1D95B" w14:textId="2347C0DD" w:rsidTr="004674F7">
        <w:trPr>
          <w:trHeight w:val="719"/>
        </w:trPr>
        <w:tc>
          <w:tcPr>
            <w:tcW w:w="2467" w:type="dxa"/>
            <w:vMerge w:val="restart"/>
          </w:tcPr>
          <w:p w14:paraId="134E9A2D" w14:textId="20D77920" w:rsidR="00987888" w:rsidRPr="004674F7" w:rsidRDefault="00987888" w:rsidP="005925A7">
            <w:pPr>
              <w:pStyle w:val="ListParagraph"/>
              <w:numPr>
                <w:ilvl w:val="0"/>
                <w:numId w:val="9"/>
              </w:numPr>
              <w:textAlignment w:val="center"/>
              <w:rPr>
                <w:rFonts w:eastAsia="Roboto UKEB" w:cs="Arial"/>
                <w:color w:val="auto"/>
                <w:kern w:val="24"/>
                <w:sz w:val="20"/>
                <w:lang w:val="en-ZA" w:eastAsia="en-ZA"/>
              </w:rPr>
            </w:pPr>
            <w:r w:rsidRPr="004674F7">
              <w:rPr>
                <w:rFonts w:eastAsia="Roboto UKEB" w:cs="Arial"/>
                <w:color w:val="auto"/>
                <w:kern w:val="24"/>
                <w:sz w:val="20"/>
                <w:lang w:val="en-ZA" w:eastAsia="en-ZA"/>
              </w:rPr>
              <w:t xml:space="preserve">Employee benefits </w:t>
            </w:r>
          </w:p>
        </w:tc>
        <w:tc>
          <w:tcPr>
            <w:tcW w:w="5538" w:type="dxa"/>
          </w:tcPr>
          <w:p w14:paraId="497D6BEA" w14:textId="5CA05E45" w:rsidR="00987888" w:rsidRPr="00456E90" w:rsidRDefault="00456E90" w:rsidP="00456E90">
            <w:pPr>
              <w:autoSpaceDE w:val="0"/>
              <w:autoSpaceDN w:val="0"/>
              <w:adjustRightInd w:val="0"/>
              <w:rPr>
                <w:rFonts w:eastAsia="Roboto UKEB" w:cs="Arial"/>
                <w:color w:val="auto"/>
                <w:kern w:val="24"/>
                <w:sz w:val="20"/>
                <w:lang w:eastAsia="en-ZA"/>
              </w:rPr>
            </w:pPr>
            <w:r w:rsidRPr="00456E90">
              <w:rPr>
                <w:rFonts w:eastAsia="Roboto UKEB" w:cs="Arial"/>
                <w:color w:val="auto"/>
                <w:kern w:val="24"/>
                <w:sz w:val="20"/>
                <w:lang w:eastAsia="en-ZA"/>
              </w:rPr>
              <w:t>Review the requirements in IAS 19 on the discount rates an entity uses</w:t>
            </w:r>
            <w:r>
              <w:rPr>
                <w:rFonts w:eastAsia="Roboto UKEB" w:cs="Arial"/>
                <w:color w:val="auto"/>
                <w:kern w:val="24"/>
                <w:sz w:val="20"/>
                <w:lang w:eastAsia="en-ZA"/>
              </w:rPr>
              <w:t xml:space="preserve"> </w:t>
            </w:r>
            <w:r w:rsidRPr="00456E90">
              <w:rPr>
                <w:rFonts w:eastAsia="Roboto UKEB" w:cs="Arial"/>
                <w:color w:val="auto"/>
                <w:kern w:val="24"/>
                <w:sz w:val="20"/>
                <w:lang w:eastAsia="en-ZA"/>
              </w:rPr>
              <w:t>in the absence of a deep market in high-quality corporate bonds</w:t>
            </w:r>
          </w:p>
        </w:tc>
        <w:tc>
          <w:tcPr>
            <w:tcW w:w="1170" w:type="dxa"/>
          </w:tcPr>
          <w:p w14:paraId="12BEA026" w14:textId="0D58C99E" w:rsidR="00987888" w:rsidRPr="00987888" w:rsidRDefault="00456E90" w:rsidP="00987888">
            <w:pPr>
              <w:rPr>
                <w:rFonts w:eastAsia="Roboto UKEB" w:cs="Arial"/>
                <w:color w:val="auto"/>
                <w:kern w:val="24"/>
                <w:sz w:val="20"/>
                <w:lang w:val="en-ZA" w:eastAsia="en-ZA"/>
              </w:rPr>
            </w:pPr>
            <w:r>
              <w:rPr>
                <w:rFonts w:eastAsia="Roboto UKEB" w:cs="Arial"/>
                <w:color w:val="auto"/>
                <w:kern w:val="24"/>
                <w:sz w:val="20"/>
                <w:lang w:val="en-ZA" w:eastAsia="en-ZA"/>
              </w:rPr>
              <w:t>Medium</w:t>
            </w:r>
          </w:p>
        </w:tc>
      </w:tr>
      <w:tr w:rsidR="00456E90" w:rsidRPr="00987888" w14:paraId="6A304FEC" w14:textId="77777777" w:rsidTr="004674F7">
        <w:trPr>
          <w:trHeight w:val="719"/>
        </w:trPr>
        <w:tc>
          <w:tcPr>
            <w:tcW w:w="2467" w:type="dxa"/>
            <w:vMerge/>
          </w:tcPr>
          <w:p w14:paraId="391667F1" w14:textId="77777777" w:rsidR="00456E90" w:rsidRPr="004674F7" w:rsidRDefault="00456E90" w:rsidP="00456E90">
            <w:pPr>
              <w:pStyle w:val="ListParagraph"/>
              <w:numPr>
                <w:ilvl w:val="0"/>
                <w:numId w:val="9"/>
              </w:numPr>
              <w:textAlignment w:val="center"/>
              <w:rPr>
                <w:rFonts w:eastAsia="Roboto UKEB" w:cs="Arial"/>
                <w:color w:val="auto"/>
                <w:kern w:val="24"/>
                <w:sz w:val="20"/>
                <w:lang w:val="en-ZA" w:eastAsia="en-ZA"/>
              </w:rPr>
            </w:pPr>
          </w:p>
        </w:tc>
        <w:tc>
          <w:tcPr>
            <w:tcW w:w="5538" w:type="dxa"/>
          </w:tcPr>
          <w:p w14:paraId="2B9E6623" w14:textId="2E80885A" w:rsidR="00456E90" w:rsidRDefault="00456E90" w:rsidP="00456E90">
            <w:pPr>
              <w:textAlignment w:val="center"/>
              <w:rPr>
                <w:rFonts w:eastAsia="Roboto UKEB" w:cs="Arial"/>
                <w:color w:val="auto"/>
                <w:kern w:val="24"/>
                <w:sz w:val="20"/>
                <w:lang w:eastAsia="en-ZA"/>
              </w:rPr>
            </w:pPr>
            <w:r>
              <w:rPr>
                <w:rFonts w:eastAsia="Roboto UKEB" w:cs="Arial"/>
                <w:color w:val="auto"/>
                <w:kern w:val="24"/>
                <w:sz w:val="20"/>
                <w:lang w:eastAsia="en-ZA"/>
              </w:rPr>
              <w:t>D</w:t>
            </w:r>
            <w:r w:rsidRPr="00987888">
              <w:rPr>
                <w:rFonts w:eastAsia="Roboto UKEB" w:cs="Arial"/>
                <w:color w:val="auto"/>
                <w:kern w:val="24"/>
                <w:sz w:val="20"/>
                <w:lang w:eastAsia="en-ZA"/>
              </w:rPr>
              <w:t xml:space="preserve">evelop accounting requirements for hybrid pension plans </w:t>
            </w:r>
          </w:p>
        </w:tc>
        <w:tc>
          <w:tcPr>
            <w:tcW w:w="1170" w:type="dxa"/>
          </w:tcPr>
          <w:p w14:paraId="76C12188" w14:textId="13FBAA28" w:rsidR="00456E90" w:rsidRPr="00987888" w:rsidRDefault="00456E90" w:rsidP="00456E90">
            <w:pPr>
              <w:rPr>
                <w:rFonts w:eastAsia="Roboto UKEB" w:cs="Arial"/>
                <w:color w:val="auto"/>
                <w:kern w:val="24"/>
                <w:sz w:val="20"/>
                <w:lang w:eastAsia="en-ZA"/>
              </w:rPr>
            </w:pPr>
            <w:r w:rsidRPr="00987888">
              <w:rPr>
                <w:rFonts w:eastAsia="Roboto UKEB" w:cs="Arial"/>
                <w:color w:val="auto"/>
                <w:kern w:val="24"/>
                <w:sz w:val="20"/>
                <w:lang w:eastAsia="en-ZA"/>
              </w:rPr>
              <w:t xml:space="preserve">Large </w:t>
            </w:r>
          </w:p>
        </w:tc>
      </w:tr>
      <w:tr w:rsidR="00456E90" w:rsidRPr="00987888" w14:paraId="0A9A6EAF" w14:textId="56BB9357" w:rsidTr="004674F7">
        <w:trPr>
          <w:trHeight w:val="440"/>
        </w:trPr>
        <w:tc>
          <w:tcPr>
            <w:tcW w:w="2467" w:type="dxa"/>
            <w:vMerge/>
          </w:tcPr>
          <w:p w14:paraId="3B1C60BC" w14:textId="0B744B13" w:rsidR="00456E90" w:rsidRPr="00987888" w:rsidRDefault="00456E90" w:rsidP="00456E90">
            <w:pPr>
              <w:textAlignment w:val="center"/>
              <w:rPr>
                <w:rFonts w:eastAsia="Roboto UKEB" w:cs="Arial"/>
                <w:color w:val="auto"/>
                <w:kern w:val="24"/>
                <w:sz w:val="20"/>
                <w:lang w:val="en-ZA" w:eastAsia="en-ZA"/>
              </w:rPr>
            </w:pPr>
          </w:p>
        </w:tc>
        <w:tc>
          <w:tcPr>
            <w:tcW w:w="5538" w:type="dxa"/>
          </w:tcPr>
          <w:p w14:paraId="4AB7DCB2" w14:textId="7998C5BC" w:rsidR="00456E90" w:rsidRPr="00987888" w:rsidRDefault="00456E90" w:rsidP="00456E90">
            <w:pPr>
              <w:textAlignment w:val="center"/>
              <w:rPr>
                <w:rFonts w:eastAsia="Roboto UKEB" w:cs="Arial"/>
                <w:color w:val="auto"/>
                <w:kern w:val="24"/>
                <w:sz w:val="20"/>
                <w:lang w:val="en-ZA" w:eastAsia="en-ZA"/>
              </w:rPr>
            </w:pPr>
            <w:r>
              <w:rPr>
                <w:rFonts w:eastAsia="Roboto UKEB" w:cs="Arial"/>
                <w:color w:val="auto"/>
                <w:kern w:val="24"/>
                <w:sz w:val="20"/>
                <w:lang w:eastAsia="en-ZA"/>
              </w:rPr>
              <w:t>U</w:t>
            </w:r>
            <w:r w:rsidRPr="00987888">
              <w:rPr>
                <w:rFonts w:eastAsia="Roboto UKEB" w:cs="Arial"/>
                <w:color w:val="auto"/>
                <w:kern w:val="24"/>
                <w:sz w:val="20"/>
                <w:lang w:eastAsia="en-ZA"/>
              </w:rPr>
              <w:t xml:space="preserve">ndertake a comprehensive review of IAS 19 </w:t>
            </w:r>
          </w:p>
        </w:tc>
        <w:tc>
          <w:tcPr>
            <w:tcW w:w="1170" w:type="dxa"/>
          </w:tcPr>
          <w:p w14:paraId="75104ABE" w14:textId="44BCD218" w:rsidR="00456E90" w:rsidRPr="00987888" w:rsidRDefault="00456E90" w:rsidP="00456E90">
            <w:pPr>
              <w:rPr>
                <w:rFonts w:eastAsia="Roboto UKEB" w:cs="Arial"/>
                <w:color w:val="auto"/>
                <w:kern w:val="24"/>
                <w:sz w:val="20"/>
                <w:lang w:val="en-ZA" w:eastAsia="en-ZA"/>
              </w:rPr>
            </w:pPr>
            <w:r w:rsidRPr="00987888">
              <w:rPr>
                <w:rFonts w:eastAsia="Roboto UKEB" w:cs="Arial"/>
                <w:color w:val="auto"/>
                <w:kern w:val="24"/>
                <w:sz w:val="20"/>
                <w:lang w:eastAsia="en-ZA"/>
              </w:rPr>
              <w:t>Large</w:t>
            </w:r>
          </w:p>
        </w:tc>
      </w:tr>
      <w:tr w:rsidR="00456E90" w:rsidRPr="005A3D59" w14:paraId="165F0198" w14:textId="77777777" w:rsidTr="004674F7">
        <w:trPr>
          <w:trHeight w:val="288"/>
        </w:trPr>
        <w:tc>
          <w:tcPr>
            <w:tcW w:w="2467" w:type="dxa"/>
            <w:shd w:val="clear" w:color="auto" w:fill="F5F5F2" w:themeFill="accent3"/>
          </w:tcPr>
          <w:p w14:paraId="655F0EDD"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0ACA2714"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0849E83C" w14:textId="77777777" w:rsidR="00456E90" w:rsidRPr="005A3D59" w:rsidRDefault="00456E90" w:rsidP="00456E90">
            <w:pPr>
              <w:jc w:val="center"/>
              <w:rPr>
                <w:rFonts w:eastAsia="Roboto UKEB" w:cs="Arial"/>
                <w:color w:val="auto"/>
                <w:kern w:val="24"/>
                <w:sz w:val="20"/>
                <w:lang w:eastAsia="en-ZA"/>
              </w:rPr>
            </w:pPr>
          </w:p>
        </w:tc>
      </w:tr>
      <w:tr w:rsidR="00456E90" w:rsidRPr="005A3D59" w14:paraId="6373349C" w14:textId="77777777" w:rsidTr="004674F7">
        <w:trPr>
          <w:trHeight w:val="288"/>
        </w:trPr>
        <w:tc>
          <w:tcPr>
            <w:tcW w:w="2467" w:type="dxa"/>
          </w:tcPr>
          <w:p w14:paraId="55A65CCE" w14:textId="4E5BD445" w:rsidR="00456E90" w:rsidRPr="00987888" w:rsidRDefault="00456E90" w:rsidP="00456E90">
            <w:pPr>
              <w:pStyle w:val="ListParagraph"/>
              <w:numPr>
                <w:ilvl w:val="0"/>
                <w:numId w:val="9"/>
              </w:numPr>
              <w:textAlignment w:val="center"/>
              <w:rPr>
                <w:rFonts w:eastAsia="Roboto UKEB" w:cs="Arial"/>
                <w:color w:val="auto"/>
                <w:kern w:val="24"/>
                <w:sz w:val="20"/>
                <w:lang w:eastAsia="en-ZA"/>
              </w:rPr>
            </w:pPr>
            <w:r w:rsidRPr="00987888">
              <w:rPr>
                <w:rFonts w:eastAsia="Roboto UKEB" w:cs="Arial"/>
                <w:color w:val="auto"/>
                <w:kern w:val="24"/>
                <w:sz w:val="20"/>
                <w:lang w:eastAsia="en-ZA"/>
              </w:rPr>
              <w:t>Expenses: Cost of sales, classification of expenses and disclosure</w:t>
            </w:r>
          </w:p>
        </w:tc>
        <w:tc>
          <w:tcPr>
            <w:tcW w:w="5538" w:type="dxa"/>
          </w:tcPr>
          <w:p w14:paraId="49911461" w14:textId="34AA9AF5" w:rsidR="00456E90" w:rsidRPr="00987888" w:rsidRDefault="00456E90" w:rsidP="00456E90">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To address these concerns, the Board could undertake a comprehensive review of the accounting for inventory and cost of sales</w:t>
            </w:r>
            <w:r>
              <w:rPr>
                <w:rFonts w:eastAsia="Roboto UKEB" w:cs="Arial"/>
                <w:color w:val="auto"/>
                <w:kern w:val="24"/>
                <w:sz w:val="20"/>
                <w:lang w:eastAsia="en-ZA"/>
              </w:rPr>
              <w:t xml:space="preserve">. </w:t>
            </w:r>
          </w:p>
          <w:p w14:paraId="6A43256C" w14:textId="77777777" w:rsidR="00456E90" w:rsidRPr="005A3D59" w:rsidRDefault="00456E90" w:rsidP="00456E90">
            <w:pPr>
              <w:textAlignment w:val="center"/>
              <w:rPr>
                <w:rFonts w:eastAsia="Roboto UKEB" w:cs="Arial"/>
                <w:color w:val="auto"/>
                <w:kern w:val="24"/>
                <w:sz w:val="20"/>
                <w:lang w:eastAsia="en-ZA"/>
              </w:rPr>
            </w:pPr>
          </w:p>
        </w:tc>
        <w:tc>
          <w:tcPr>
            <w:tcW w:w="1170" w:type="dxa"/>
          </w:tcPr>
          <w:p w14:paraId="2CFF913A" w14:textId="7B243EAA"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Large</w:t>
            </w:r>
          </w:p>
        </w:tc>
      </w:tr>
      <w:tr w:rsidR="00456E90" w:rsidRPr="005A3D59" w14:paraId="52DEAEAF" w14:textId="77777777" w:rsidTr="004674F7">
        <w:trPr>
          <w:trHeight w:val="288"/>
        </w:trPr>
        <w:tc>
          <w:tcPr>
            <w:tcW w:w="2467" w:type="dxa"/>
            <w:shd w:val="clear" w:color="auto" w:fill="F5F5F2" w:themeFill="accent3"/>
          </w:tcPr>
          <w:p w14:paraId="55B63D01"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4B4F44A0"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3B08923B" w14:textId="77777777" w:rsidR="00456E90" w:rsidRPr="005A3D59" w:rsidRDefault="00456E90" w:rsidP="00456E90">
            <w:pPr>
              <w:jc w:val="center"/>
              <w:rPr>
                <w:rFonts w:eastAsia="Roboto UKEB" w:cs="Arial"/>
                <w:color w:val="auto"/>
                <w:kern w:val="24"/>
                <w:sz w:val="20"/>
                <w:lang w:eastAsia="en-ZA"/>
              </w:rPr>
            </w:pPr>
          </w:p>
        </w:tc>
      </w:tr>
      <w:tr w:rsidR="00456E90" w:rsidRPr="00987888" w14:paraId="66FD12F5" w14:textId="77777777" w:rsidTr="004674F7">
        <w:trPr>
          <w:trHeight w:val="288"/>
        </w:trPr>
        <w:tc>
          <w:tcPr>
            <w:tcW w:w="2467" w:type="dxa"/>
            <w:vMerge w:val="restart"/>
          </w:tcPr>
          <w:p w14:paraId="27B706DB" w14:textId="7E355855" w:rsidR="00456E90" w:rsidRPr="00987888"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Foreign currencies </w:t>
            </w:r>
          </w:p>
        </w:tc>
        <w:tc>
          <w:tcPr>
            <w:tcW w:w="5538" w:type="dxa"/>
          </w:tcPr>
          <w:p w14:paraId="338ED49A" w14:textId="2A76A6C7" w:rsidR="00456E90" w:rsidRPr="00987888" w:rsidRDefault="00456E90" w:rsidP="00456E90">
            <w:pPr>
              <w:textAlignment w:val="center"/>
              <w:rPr>
                <w:rFonts w:eastAsia="Roboto UKEB" w:cs="Arial"/>
                <w:color w:val="auto"/>
                <w:kern w:val="24"/>
                <w:sz w:val="20"/>
                <w:lang w:eastAsia="en-ZA"/>
              </w:rPr>
            </w:pPr>
            <w:r w:rsidRPr="00987888">
              <w:rPr>
                <w:rFonts w:eastAsia="Roboto UKEB" w:cs="Arial"/>
                <w:color w:val="auto"/>
                <w:kern w:val="24"/>
                <w:sz w:val="20"/>
                <w:lang w:eastAsia="en-ZA"/>
              </w:rPr>
              <w:t>A targeted project to improve aspects of IAS 21</w:t>
            </w:r>
          </w:p>
        </w:tc>
        <w:tc>
          <w:tcPr>
            <w:tcW w:w="1170" w:type="dxa"/>
          </w:tcPr>
          <w:p w14:paraId="097EF802" w14:textId="24E8FD0E" w:rsidR="00456E90" w:rsidRPr="00987888" w:rsidRDefault="00456E90" w:rsidP="00456E90">
            <w:pPr>
              <w:rPr>
                <w:rFonts w:eastAsia="Roboto UKEB" w:cs="Arial"/>
                <w:color w:val="auto"/>
                <w:kern w:val="24"/>
                <w:sz w:val="20"/>
                <w:lang w:eastAsia="en-ZA"/>
              </w:rPr>
            </w:pPr>
            <w:r w:rsidRPr="00987888">
              <w:rPr>
                <w:rFonts w:eastAsia="Roboto UKEB" w:cs="Arial"/>
                <w:color w:val="auto"/>
                <w:kern w:val="24"/>
                <w:sz w:val="20"/>
                <w:lang w:eastAsia="en-ZA"/>
              </w:rPr>
              <w:t>Small</w:t>
            </w:r>
          </w:p>
        </w:tc>
      </w:tr>
      <w:tr w:rsidR="00456E90" w:rsidRPr="00987888" w14:paraId="5A356BDF" w14:textId="1940D6FB" w:rsidTr="004674F7">
        <w:trPr>
          <w:trHeight w:val="449"/>
        </w:trPr>
        <w:tc>
          <w:tcPr>
            <w:tcW w:w="2467" w:type="dxa"/>
            <w:vMerge/>
          </w:tcPr>
          <w:p w14:paraId="1CC15445" w14:textId="78D2A7C5" w:rsidR="00456E90" w:rsidRPr="00987888" w:rsidRDefault="00456E90" w:rsidP="00456E90">
            <w:pPr>
              <w:textAlignment w:val="center"/>
              <w:rPr>
                <w:rFonts w:eastAsia="Roboto UKEB" w:cs="Arial"/>
                <w:color w:val="auto"/>
                <w:kern w:val="24"/>
                <w:sz w:val="20"/>
                <w:lang w:val="en-ZA" w:eastAsia="en-ZA"/>
              </w:rPr>
            </w:pPr>
          </w:p>
        </w:tc>
        <w:tc>
          <w:tcPr>
            <w:tcW w:w="5538" w:type="dxa"/>
          </w:tcPr>
          <w:p w14:paraId="3FCA97FC" w14:textId="54CAE62C" w:rsidR="00456E90" w:rsidRPr="00987888" w:rsidRDefault="00456E90" w:rsidP="00456E90">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 xml:space="preserve">A comprehensive review of IAS 21 </w:t>
            </w:r>
          </w:p>
        </w:tc>
        <w:tc>
          <w:tcPr>
            <w:tcW w:w="1170" w:type="dxa"/>
          </w:tcPr>
          <w:p w14:paraId="67842D4E" w14:textId="06ED01DA" w:rsidR="00456E90" w:rsidRPr="00987888" w:rsidRDefault="00456E90" w:rsidP="00456E90">
            <w:pPr>
              <w:rPr>
                <w:rFonts w:eastAsia="Roboto UKEB" w:cs="Arial"/>
                <w:color w:val="auto"/>
                <w:kern w:val="24"/>
                <w:sz w:val="20"/>
                <w:lang w:val="en-ZA" w:eastAsia="en-ZA"/>
              </w:rPr>
            </w:pPr>
            <w:r w:rsidRPr="00987888">
              <w:rPr>
                <w:rFonts w:eastAsia="Roboto UKEB" w:cs="Arial"/>
                <w:color w:val="auto"/>
                <w:kern w:val="24"/>
                <w:sz w:val="20"/>
                <w:lang w:eastAsia="en-ZA"/>
              </w:rPr>
              <w:t>Large</w:t>
            </w:r>
          </w:p>
        </w:tc>
      </w:tr>
      <w:tr w:rsidR="00456E90" w:rsidRPr="005A3D59" w14:paraId="3A371979" w14:textId="77777777" w:rsidTr="004674F7">
        <w:trPr>
          <w:trHeight w:val="288"/>
        </w:trPr>
        <w:tc>
          <w:tcPr>
            <w:tcW w:w="2467" w:type="dxa"/>
            <w:shd w:val="clear" w:color="auto" w:fill="F5F5F2" w:themeFill="accent3"/>
          </w:tcPr>
          <w:p w14:paraId="15CD1D9E"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78F5FD5A"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1005666D" w14:textId="77777777" w:rsidR="00456E90" w:rsidRPr="005A3D59" w:rsidRDefault="00456E90" w:rsidP="00456E90">
            <w:pPr>
              <w:rPr>
                <w:rFonts w:eastAsia="Roboto UKEB" w:cs="Arial"/>
                <w:color w:val="auto"/>
                <w:kern w:val="24"/>
                <w:sz w:val="20"/>
                <w:lang w:eastAsia="en-ZA"/>
              </w:rPr>
            </w:pPr>
          </w:p>
        </w:tc>
      </w:tr>
      <w:tr w:rsidR="00456E90" w:rsidRPr="005A3D59" w14:paraId="1DAA63E0" w14:textId="77777777" w:rsidTr="004674F7">
        <w:trPr>
          <w:trHeight w:val="809"/>
        </w:trPr>
        <w:tc>
          <w:tcPr>
            <w:tcW w:w="2467" w:type="dxa"/>
            <w:vMerge w:val="restart"/>
          </w:tcPr>
          <w:p w14:paraId="599495E3" w14:textId="3E6F40A9" w:rsidR="00456E90" w:rsidRPr="00987888"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Going concern</w:t>
            </w:r>
          </w:p>
        </w:tc>
        <w:tc>
          <w:tcPr>
            <w:tcW w:w="5538" w:type="dxa"/>
          </w:tcPr>
          <w:p w14:paraId="34470C7E" w14:textId="76C366F8" w:rsidR="00456E90" w:rsidRPr="00987888" w:rsidRDefault="00456E90" w:rsidP="00456E90">
            <w:pPr>
              <w:textAlignment w:val="center"/>
              <w:rPr>
                <w:rFonts w:eastAsia="Roboto UKEB" w:cs="Arial"/>
                <w:color w:val="auto"/>
                <w:kern w:val="24"/>
                <w:sz w:val="20"/>
                <w:lang w:eastAsia="en-ZA"/>
              </w:rPr>
            </w:pPr>
            <w:r w:rsidRPr="00987888">
              <w:rPr>
                <w:rFonts w:eastAsia="Roboto UKEB" w:cs="Arial"/>
                <w:color w:val="auto"/>
                <w:kern w:val="24"/>
                <w:sz w:val="20"/>
                <w:lang w:eastAsia="en-ZA"/>
              </w:rPr>
              <w:t xml:space="preserve">Develop enhanced requirements on how management should assess whether the going-concern basis of preparation is appropriate </w:t>
            </w:r>
          </w:p>
        </w:tc>
        <w:tc>
          <w:tcPr>
            <w:tcW w:w="1170" w:type="dxa"/>
          </w:tcPr>
          <w:p w14:paraId="24B70E40" w14:textId="2FA3CD9D" w:rsidR="00456E90" w:rsidRPr="00987888" w:rsidRDefault="00456E90" w:rsidP="00456E90">
            <w:pPr>
              <w:rPr>
                <w:rFonts w:eastAsia="Roboto UKEB" w:cs="Arial"/>
                <w:color w:val="auto"/>
                <w:kern w:val="24"/>
                <w:sz w:val="20"/>
                <w:lang w:eastAsia="en-ZA"/>
              </w:rPr>
            </w:pPr>
            <w:r>
              <w:rPr>
                <w:rFonts w:eastAsia="Roboto UKEB" w:cs="Arial"/>
                <w:color w:val="auto"/>
                <w:kern w:val="24"/>
                <w:sz w:val="20"/>
                <w:lang w:eastAsia="en-ZA"/>
              </w:rPr>
              <w:t>Medium</w:t>
            </w:r>
            <w:r w:rsidRPr="00987888">
              <w:rPr>
                <w:rFonts w:eastAsia="Roboto UKEB" w:cs="Arial"/>
                <w:color w:val="auto"/>
                <w:kern w:val="24"/>
                <w:sz w:val="20"/>
                <w:lang w:eastAsia="en-ZA"/>
              </w:rPr>
              <w:t xml:space="preserve"> </w:t>
            </w:r>
          </w:p>
        </w:tc>
      </w:tr>
      <w:tr w:rsidR="00456E90" w:rsidRPr="00987888" w14:paraId="1EF22453" w14:textId="08ED9CE1" w:rsidTr="004674F7">
        <w:trPr>
          <w:trHeight w:val="710"/>
        </w:trPr>
        <w:tc>
          <w:tcPr>
            <w:tcW w:w="2467" w:type="dxa"/>
            <w:vMerge/>
          </w:tcPr>
          <w:p w14:paraId="0265FB69" w14:textId="5A8624CF" w:rsidR="00456E90" w:rsidRPr="00987888" w:rsidRDefault="00456E90" w:rsidP="00456E90">
            <w:pPr>
              <w:textAlignment w:val="center"/>
              <w:rPr>
                <w:rFonts w:eastAsia="Roboto UKEB" w:cs="Arial"/>
                <w:color w:val="auto"/>
                <w:kern w:val="24"/>
                <w:sz w:val="20"/>
                <w:lang w:val="en-ZA" w:eastAsia="en-ZA"/>
              </w:rPr>
            </w:pPr>
          </w:p>
        </w:tc>
        <w:tc>
          <w:tcPr>
            <w:tcW w:w="5538" w:type="dxa"/>
          </w:tcPr>
          <w:p w14:paraId="1D6AA2BE" w14:textId="31E886A5" w:rsidR="00456E90" w:rsidRPr="00987888" w:rsidRDefault="00456E90" w:rsidP="00456E90">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 xml:space="preserve">Develop enhanced specific disclosure requirements about the going concern assumption </w:t>
            </w:r>
          </w:p>
        </w:tc>
        <w:tc>
          <w:tcPr>
            <w:tcW w:w="1170" w:type="dxa"/>
          </w:tcPr>
          <w:p w14:paraId="1EA8198A" w14:textId="408234AB" w:rsidR="00456E90" w:rsidRPr="00987888" w:rsidRDefault="00456E90" w:rsidP="00456E90">
            <w:pPr>
              <w:rPr>
                <w:rFonts w:eastAsia="Roboto UKEB" w:cs="Arial"/>
                <w:color w:val="auto"/>
                <w:kern w:val="24"/>
                <w:sz w:val="20"/>
                <w:lang w:val="en-ZA" w:eastAsia="en-ZA"/>
              </w:rPr>
            </w:pPr>
            <w:r w:rsidRPr="00987888">
              <w:rPr>
                <w:rFonts w:eastAsia="Roboto UKEB" w:cs="Arial"/>
                <w:color w:val="auto"/>
                <w:kern w:val="24"/>
                <w:sz w:val="20"/>
                <w:lang w:eastAsia="en-ZA"/>
              </w:rPr>
              <w:t>Medium</w:t>
            </w:r>
          </w:p>
        </w:tc>
      </w:tr>
      <w:tr w:rsidR="00456E90" w:rsidRPr="00987888" w14:paraId="4091093C" w14:textId="5E2B5DF5" w:rsidTr="004674F7">
        <w:trPr>
          <w:trHeight w:val="593"/>
        </w:trPr>
        <w:tc>
          <w:tcPr>
            <w:tcW w:w="2467" w:type="dxa"/>
            <w:vMerge/>
          </w:tcPr>
          <w:p w14:paraId="4A6851B4" w14:textId="753255F9" w:rsidR="00456E90" w:rsidRPr="00987888" w:rsidRDefault="00456E90" w:rsidP="00456E90">
            <w:pPr>
              <w:textAlignment w:val="center"/>
              <w:rPr>
                <w:rFonts w:eastAsia="Roboto UKEB" w:cs="Arial"/>
                <w:color w:val="auto"/>
                <w:kern w:val="24"/>
                <w:sz w:val="20"/>
                <w:lang w:val="en-ZA" w:eastAsia="en-ZA"/>
              </w:rPr>
            </w:pPr>
          </w:p>
        </w:tc>
        <w:tc>
          <w:tcPr>
            <w:tcW w:w="5538" w:type="dxa"/>
          </w:tcPr>
          <w:p w14:paraId="1F134028" w14:textId="32C9F106" w:rsidR="00456E90" w:rsidRPr="00987888" w:rsidRDefault="00456E90" w:rsidP="00456E90">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 xml:space="preserve">Develop requirements to specify the basis of accounting that applies when an entity is no longer a going concern </w:t>
            </w:r>
          </w:p>
        </w:tc>
        <w:tc>
          <w:tcPr>
            <w:tcW w:w="1170" w:type="dxa"/>
          </w:tcPr>
          <w:p w14:paraId="40C0780A" w14:textId="08304169" w:rsidR="00456E90" w:rsidRPr="00987888" w:rsidRDefault="00456E90" w:rsidP="00456E90">
            <w:pPr>
              <w:rPr>
                <w:rFonts w:eastAsia="Roboto UKEB" w:cs="Arial"/>
                <w:color w:val="auto"/>
                <w:kern w:val="24"/>
                <w:sz w:val="20"/>
                <w:lang w:val="en-ZA" w:eastAsia="en-ZA"/>
              </w:rPr>
            </w:pPr>
            <w:r w:rsidRPr="00987888">
              <w:rPr>
                <w:rFonts w:eastAsia="Roboto UKEB" w:cs="Arial"/>
                <w:color w:val="auto"/>
                <w:kern w:val="24"/>
                <w:sz w:val="20"/>
                <w:lang w:eastAsia="en-ZA"/>
              </w:rPr>
              <w:t>Large</w:t>
            </w:r>
          </w:p>
        </w:tc>
      </w:tr>
      <w:tr w:rsidR="00456E90" w:rsidRPr="00987888" w14:paraId="6422A47F" w14:textId="3E49FE89" w:rsidTr="004674F7">
        <w:trPr>
          <w:trHeight w:val="467"/>
        </w:trPr>
        <w:tc>
          <w:tcPr>
            <w:tcW w:w="2467" w:type="dxa"/>
            <w:vMerge/>
          </w:tcPr>
          <w:p w14:paraId="171C204F" w14:textId="0CE36E86" w:rsidR="00456E90" w:rsidRPr="00987888" w:rsidRDefault="00456E90" w:rsidP="00456E90">
            <w:pPr>
              <w:textAlignment w:val="center"/>
              <w:rPr>
                <w:rFonts w:eastAsia="Roboto UKEB" w:cs="Arial"/>
                <w:color w:val="auto"/>
                <w:kern w:val="24"/>
                <w:sz w:val="20"/>
                <w:lang w:val="en-ZA" w:eastAsia="en-ZA"/>
              </w:rPr>
            </w:pPr>
          </w:p>
        </w:tc>
        <w:tc>
          <w:tcPr>
            <w:tcW w:w="5538" w:type="dxa"/>
          </w:tcPr>
          <w:p w14:paraId="2D10448D" w14:textId="73351544" w:rsidR="00456E90" w:rsidRPr="00987888" w:rsidRDefault="00456E90" w:rsidP="00456E90">
            <w:pPr>
              <w:textAlignment w:val="center"/>
              <w:rPr>
                <w:rFonts w:eastAsia="Roboto UKEB" w:cs="Arial"/>
                <w:color w:val="auto"/>
                <w:kern w:val="24"/>
                <w:sz w:val="20"/>
                <w:lang w:val="en-ZA" w:eastAsia="en-ZA"/>
              </w:rPr>
            </w:pPr>
            <w:r w:rsidRPr="00987888">
              <w:rPr>
                <w:rFonts w:eastAsia="Roboto UKEB" w:cs="Arial"/>
                <w:color w:val="auto"/>
                <w:kern w:val="24"/>
                <w:sz w:val="20"/>
                <w:lang w:eastAsia="en-ZA"/>
              </w:rPr>
              <w:t xml:space="preserve">Address the issues collectively in a single project </w:t>
            </w:r>
          </w:p>
        </w:tc>
        <w:tc>
          <w:tcPr>
            <w:tcW w:w="1170" w:type="dxa"/>
          </w:tcPr>
          <w:p w14:paraId="37B699BF" w14:textId="567DCC96" w:rsidR="00456E90" w:rsidRPr="00987888" w:rsidRDefault="00456E90" w:rsidP="00456E90">
            <w:pPr>
              <w:rPr>
                <w:rFonts w:eastAsia="Roboto UKEB" w:cs="Arial"/>
                <w:color w:val="auto"/>
                <w:kern w:val="24"/>
                <w:sz w:val="20"/>
                <w:lang w:val="en-ZA" w:eastAsia="en-ZA"/>
              </w:rPr>
            </w:pPr>
            <w:r w:rsidRPr="00987888">
              <w:rPr>
                <w:rFonts w:eastAsia="Roboto UKEB" w:cs="Arial"/>
                <w:color w:val="auto"/>
                <w:kern w:val="24"/>
                <w:sz w:val="20"/>
                <w:lang w:eastAsia="en-ZA"/>
              </w:rPr>
              <w:t>Large</w:t>
            </w:r>
          </w:p>
        </w:tc>
      </w:tr>
      <w:tr w:rsidR="00456E90" w:rsidRPr="005A3D59" w14:paraId="5FFB720C" w14:textId="77777777" w:rsidTr="004674F7">
        <w:trPr>
          <w:trHeight w:val="288"/>
        </w:trPr>
        <w:tc>
          <w:tcPr>
            <w:tcW w:w="2467" w:type="dxa"/>
            <w:shd w:val="clear" w:color="auto" w:fill="F5F5F2" w:themeFill="accent3"/>
          </w:tcPr>
          <w:p w14:paraId="2CC64BD0"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4E573052"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01E597C1" w14:textId="77777777" w:rsidR="00456E90" w:rsidRPr="005A3D59" w:rsidRDefault="00456E90" w:rsidP="00456E90">
            <w:pPr>
              <w:jc w:val="center"/>
              <w:rPr>
                <w:rFonts w:eastAsia="Roboto UKEB" w:cs="Arial"/>
                <w:color w:val="auto"/>
                <w:kern w:val="24"/>
                <w:sz w:val="20"/>
                <w:lang w:eastAsia="en-ZA"/>
              </w:rPr>
            </w:pPr>
          </w:p>
        </w:tc>
      </w:tr>
      <w:tr w:rsidR="00456E90" w:rsidRPr="005A3D59" w14:paraId="348D0FD6" w14:textId="77777777" w:rsidTr="004674F7">
        <w:trPr>
          <w:trHeight w:val="288"/>
        </w:trPr>
        <w:tc>
          <w:tcPr>
            <w:tcW w:w="2467" w:type="dxa"/>
          </w:tcPr>
          <w:p w14:paraId="3C273958" w14:textId="52B71DC0" w:rsidR="00456E90" w:rsidRPr="00980BA1"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Government grants</w:t>
            </w:r>
          </w:p>
        </w:tc>
        <w:tc>
          <w:tcPr>
            <w:tcW w:w="5538" w:type="dxa"/>
          </w:tcPr>
          <w:p w14:paraId="4E5149DA" w14:textId="77777777" w:rsidR="00456E90" w:rsidRPr="00980BA1" w:rsidRDefault="00456E90" w:rsidP="00456E90">
            <w:p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 xml:space="preserve">Project researching and addressing the following: </w:t>
            </w:r>
          </w:p>
          <w:p w14:paraId="1F8B01CB" w14:textId="77777777" w:rsidR="00456E90" w:rsidRPr="00980BA1" w:rsidRDefault="00456E90" w:rsidP="00456E90">
            <w:pPr>
              <w:numPr>
                <w:ilvl w:val="0"/>
                <w:numId w:val="10"/>
              </w:num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The recognition criteria for government grants in the statement of profit or loss</w:t>
            </w:r>
          </w:p>
          <w:p w14:paraId="32D09B2B" w14:textId="1C157DF8" w:rsidR="00456E90" w:rsidRPr="00980BA1" w:rsidRDefault="00456E90" w:rsidP="00456E90">
            <w:pPr>
              <w:numPr>
                <w:ilvl w:val="0"/>
                <w:numId w:val="10"/>
              </w:num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Diversity in the recognition and measurement of types of government grants that are in the form of non-monetary assets</w:t>
            </w:r>
          </w:p>
          <w:p w14:paraId="07DD92F9" w14:textId="77777777" w:rsidR="00456E90" w:rsidRPr="00980BA1" w:rsidRDefault="00456E90" w:rsidP="00456E90">
            <w:pPr>
              <w:numPr>
                <w:ilvl w:val="0"/>
                <w:numId w:val="10"/>
              </w:num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Accounting policy choice permitted when grants are related to assets</w:t>
            </w:r>
          </w:p>
          <w:p w14:paraId="5A5BFF78" w14:textId="77777777" w:rsidR="00456E90" w:rsidRPr="00980BA1" w:rsidRDefault="00456E90" w:rsidP="00456E90">
            <w:pPr>
              <w:numPr>
                <w:ilvl w:val="0"/>
                <w:numId w:val="10"/>
              </w:num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Accounting policy choice permitted when grants are related to income</w:t>
            </w:r>
          </w:p>
          <w:p w14:paraId="16649475" w14:textId="77777777" w:rsidR="00456E90" w:rsidRPr="00980BA1" w:rsidRDefault="00456E90" w:rsidP="00456E90">
            <w:pPr>
              <w:numPr>
                <w:ilvl w:val="0"/>
                <w:numId w:val="10"/>
              </w:num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The deduction of a government grant from the cost of an asset</w:t>
            </w:r>
          </w:p>
          <w:p w14:paraId="47CFB9B6" w14:textId="77777777" w:rsidR="00456E90" w:rsidRPr="005A3D59" w:rsidRDefault="00456E90" w:rsidP="00456E90">
            <w:pPr>
              <w:textAlignment w:val="center"/>
              <w:rPr>
                <w:rFonts w:eastAsia="Roboto UKEB" w:cs="Arial"/>
                <w:color w:val="auto"/>
                <w:kern w:val="24"/>
                <w:sz w:val="20"/>
                <w:lang w:eastAsia="en-ZA"/>
              </w:rPr>
            </w:pPr>
          </w:p>
        </w:tc>
        <w:tc>
          <w:tcPr>
            <w:tcW w:w="1170" w:type="dxa"/>
          </w:tcPr>
          <w:p w14:paraId="071465AB" w14:textId="3451A53A"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Medium</w:t>
            </w:r>
          </w:p>
        </w:tc>
      </w:tr>
      <w:tr w:rsidR="00456E90" w:rsidRPr="005A3D59" w14:paraId="5E2CCFF5" w14:textId="77777777" w:rsidTr="004674F7">
        <w:trPr>
          <w:trHeight w:val="288"/>
        </w:trPr>
        <w:tc>
          <w:tcPr>
            <w:tcW w:w="2467" w:type="dxa"/>
            <w:shd w:val="clear" w:color="auto" w:fill="F5F5F2" w:themeFill="accent3"/>
          </w:tcPr>
          <w:p w14:paraId="22A55FDB"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3D5B299A"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6D57D900" w14:textId="77777777" w:rsidR="00456E90" w:rsidRPr="005A3D59" w:rsidRDefault="00456E90" w:rsidP="00456E90">
            <w:pPr>
              <w:jc w:val="center"/>
              <w:rPr>
                <w:rFonts w:eastAsia="Roboto UKEB" w:cs="Arial"/>
                <w:color w:val="auto"/>
                <w:kern w:val="24"/>
                <w:sz w:val="20"/>
                <w:lang w:eastAsia="en-ZA"/>
              </w:rPr>
            </w:pPr>
          </w:p>
        </w:tc>
      </w:tr>
      <w:tr w:rsidR="00456E90" w:rsidRPr="005A3D59" w14:paraId="583B4498" w14:textId="77777777" w:rsidTr="004674F7">
        <w:trPr>
          <w:trHeight w:val="611"/>
        </w:trPr>
        <w:tc>
          <w:tcPr>
            <w:tcW w:w="2467" w:type="dxa"/>
            <w:vMerge w:val="restart"/>
          </w:tcPr>
          <w:p w14:paraId="3165AC31" w14:textId="63289EB7" w:rsidR="00456E90" w:rsidRPr="00980BA1"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Income taxes </w:t>
            </w:r>
          </w:p>
        </w:tc>
        <w:tc>
          <w:tcPr>
            <w:tcW w:w="5538" w:type="dxa"/>
          </w:tcPr>
          <w:p w14:paraId="248BB06A" w14:textId="7137F5F7" w:rsidR="00456E90" w:rsidRPr="00980BA1" w:rsidRDefault="00456E90" w:rsidP="00456E90">
            <w:pPr>
              <w:textAlignment w:val="center"/>
              <w:rPr>
                <w:rFonts w:eastAsia="Roboto UKEB" w:cs="Arial"/>
                <w:color w:val="auto"/>
                <w:kern w:val="24"/>
                <w:sz w:val="20"/>
                <w:lang w:eastAsia="en-ZA"/>
              </w:rPr>
            </w:pPr>
            <w:r w:rsidRPr="00980BA1">
              <w:rPr>
                <w:rFonts w:eastAsia="Roboto UKEB" w:cs="Arial"/>
                <w:color w:val="auto"/>
                <w:kern w:val="24"/>
                <w:sz w:val="20"/>
                <w:lang w:eastAsia="en-ZA"/>
              </w:rPr>
              <w:t xml:space="preserve">Develop accounting requirements for emerging types of taxes </w:t>
            </w:r>
          </w:p>
        </w:tc>
        <w:tc>
          <w:tcPr>
            <w:tcW w:w="1170" w:type="dxa"/>
          </w:tcPr>
          <w:p w14:paraId="1DFB9978" w14:textId="0AE40217" w:rsidR="00456E90" w:rsidRPr="00980BA1" w:rsidRDefault="00456E90" w:rsidP="00456E90">
            <w:pPr>
              <w:rPr>
                <w:rFonts w:eastAsia="Roboto UKEB" w:cs="Arial"/>
                <w:color w:val="auto"/>
                <w:kern w:val="24"/>
                <w:sz w:val="20"/>
                <w:lang w:eastAsia="en-ZA"/>
              </w:rPr>
            </w:pPr>
            <w:r w:rsidRPr="00980BA1">
              <w:rPr>
                <w:rFonts w:eastAsia="Roboto UKEB" w:cs="Arial"/>
                <w:color w:val="auto"/>
                <w:kern w:val="24"/>
                <w:sz w:val="20"/>
                <w:lang w:eastAsia="en-ZA"/>
              </w:rPr>
              <w:t>Small</w:t>
            </w:r>
          </w:p>
        </w:tc>
      </w:tr>
      <w:tr w:rsidR="00456E90" w:rsidRPr="00980BA1" w14:paraId="2F10A2E9" w14:textId="6830DB7C" w:rsidTr="004674F7">
        <w:trPr>
          <w:trHeight w:val="656"/>
        </w:trPr>
        <w:tc>
          <w:tcPr>
            <w:tcW w:w="2467" w:type="dxa"/>
            <w:vMerge/>
          </w:tcPr>
          <w:p w14:paraId="60F5A738" w14:textId="33DD56D6" w:rsidR="00456E90" w:rsidRPr="00980BA1" w:rsidRDefault="00456E90" w:rsidP="00456E90">
            <w:pPr>
              <w:textAlignment w:val="center"/>
              <w:rPr>
                <w:rFonts w:eastAsia="Roboto UKEB" w:cs="Arial"/>
                <w:color w:val="auto"/>
                <w:kern w:val="24"/>
                <w:sz w:val="20"/>
                <w:lang w:val="en-ZA" w:eastAsia="en-ZA"/>
              </w:rPr>
            </w:pPr>
          </w:p>
        </w:tc>
        <w:tc>
          <w:tcPr>
            <w:tcW w:w="5538" w:type="dxa"/>
          </w:tcPr>
          <w:p w14:paraId="4B1CE882" w14:textId="666B8E74" w:rsidR="00456E90" w:rsidRPr="00980BA1" w:rsidRDefault="00456E90" w:rsidP="00456E90">
            <w:p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 xml:space="preserve">Develop enhanced disclosures about income taxes </w:t>
            </w:r>
          </w:p>
        </w:tc>
        <w:tc>
          <w:tcPr>
            <w:tcW w:w="1170" w:type="dxa"/>
          </w:tcPr>
          <w:p w14:paraId="3561078D" w14:textId="4744D700" w:rsidR="00456E90" w:rsidRPr="00980BA1" w:rsidRDefault="00456E90" w:rsidP="00456E90">
            <w:pPr>
              <w:rPr>
                <w:rFonts w:eastAsia="Roboto UKEB" w:cs="Arial"/>
                <w:color w:val="auto"/>
                <w:kern w:val="24"/>
                <w:sz w:val="20"/>
                <w:lang w:val="en-ZA" w:eastAsia="en-ZA"/>
              </w:rPr>
            </w:pPr>
            <w:r w:rsidRPr="00980BA1">
              <w:rPr>
                <w:rFonts w:eastAsia="Roboto UKEB" w:cs="Arial"/>
                <w:color w:val="auto"/>
                <w:kern w:val="24"/>
                <w:sz w:val="20"/>
                <w:lang w:eastAsia="en-ZA"/>
              </w:rPr>
              <w:t>Medium</w:t>
            </w:r>
          </w:p>
        </w:tc>
      </w:tr>
      <w:tr w:rsidR="00456E90" w:rsidRPr="00980BA1" w14:paraId="7E7904BF" w14:textId="36F8F331" w:rsidTr="004674F7">
        <w:trPr>
          <w:trHeight w:val="620"/>
        </w:trPr>
        <w:tc>
          <w:tcPr>
            <w:tcW w:w="2467" w:type="dxa"/>
            <w:vMerge/>
          </w:tcPr>
          <w:p w14:paraId="2C469CC3" w14:textId="7174A119" w:rsidR="00456E90" w:rsidRPr="00980BA1" w:rsidRDefault="00456E90" w:rsidP="00456E90">
            <w:pPr>
              <w:textAlignment w:val="center"/>
              <w:rPr>
                <w:rFonts w:eastAsia="Roboto UKEB" w:cs="Arial"/>
                <w:color w:val="auto"/>
                <w:kern w:val="24"/>
                <w:sz w:val="20"/>
                <w:lang w:val="en-ZA" w:eastAsia="en-ZA"/>
              </w:rPr>
            </w:pPr>
          </w:p>
        </w:tc>
        <w:tc>
          <w:tcPr>
            <w:tcW w:w="5538" w:type="dxa"/>
          </w:tcPr>
          <w:p w14:paraId="2BF8AFB2" w14:textId="316B6B17" w:rsidR="00456E90" w:rsidRPr="00980BA1" w:rsidRDefault="00456E90" w:rsidP="00456E90">
            <w:pPr>
              <w:textAlignment w:val="center"/>
              <w:rPr>
                <w:rFonts w:eastAsia="Roboto UKEB" w:cs="Arial"/>
                <w:color w:val="auto"/>
                <w:kern w:val="24"/>
                <w:sz w:val="20"/>
                <w:lang w:val="en-ZA" w:eastAsia="en-ZA"/>
              </w:rPr>
            </w:pPr>
            <w:r w:rsidRPr="00980BA1">
              <w:rPr>
                <w:rFonts w:eastAsia="Roboto UKEB" w:cs="Arial"/>
                <w:color w:val="auto"/>
                <w:kern w:val="24"/>
                <w:sz w:val="20"/>
                <w:lang w:eastAsia="en-ZA"/>
              </w:rPr>
              <w:t xml:space="preserve">Undertake a comprehensive review of income tax accounting </w:t>
            </w:r>
          </w:p>
        </w:tc>
        <w:tc>
          <w:tcPr>
            <w:tcW w:w="1170" w:type="dxa"/>
          </w:tcPr>
          <w:p w14:paraId="079670A0" w14:textId="00F81758" w:rsidR="00456E90" w:rsidRPr="00980BA1" w:rsidRDefault="00456E90" w:rsidP="00456E90">
            <w:pPr>
              <w:rPr>
                <w:rFonts w:eastAsia="Roboto UKEB" w:cs="Arial"/>
                <w:color w:val="auto"/>
                <w:kern w:val="24"/>
                <w:sz w:val="20"/>
                <w:lang w:val="en-ZA" w:eastAsia="en-ZA"/>
              </w:rPr>
            </w:pPr>
            <w:r w:rsidRPr="00980BA1">
              <w:rPr>
                <w:rFonts w:eastAsia="Roboto UKEB" w:cs="Arial"/>
                <w:color w:val="auto"/>
                <w:kern w:val="24"/>
                <w:sz w:val="20"/>
                <w:lang w:eastAsia="en-ZA"/>
              </w:rPr>
              <w:t>Large</w:t>
            </w:r>
          </w:p>
        </w:tc>
      </w:tr>
      <w:tr w:rsidR="00456E90" w:rsidRPr="005A3D59" w14:paraId="593C0B58" w14:textId="77777777" w:rsidTr="004674F7">
        <w:trPr>
          <w:trHeight w:val="288"/>
        </w:trPr>
        <w:tc>
          <w:tcPr>
            <w:tcW w:w="2467" w:type="dxa"/>
            <w:shd w:val="clear" w:color="auto" w:fill="F5F5F2" w:themeFill="accent3"/>
          </w:tcPr>
          <w:p w14:paraId="6AC002F9"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633F0603"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03D68F17" w14:textId="77777777" w:rsidR="00456E90" w:rsidRPr="005A3D59" w:rsidRDefault="00456E90" w:rsidP="00456E90">
            <w:pPr>
              <w:jc w:val="center"/>
              <w:rPr>
                <w:rFonts w:eastAsia="Roboto UKEB" w:cs="Arial"/>
                <w:color w:val="auto"/>
                <w:kern w:val="24"/>
                <w:sz w:val="20"/>
                <w:lang w:eastAsia="en-ZA"/>
              </w:rPr>
            </w:pPr>
          </w:p>
        </w:tc>
      </w:tr>
      <w:tr w:rsidR="00456E90" w:rsidRPr="005A3D59" w14:paraId="7EA612F5" w14:textId="77777777" w:rsidTr="004674F7">
        <w:trPr>
          <w:trHeight w:val="1043"/>
        </w:trPr>
        <w:tc>
          <w:tcPr>
            <w:tcW w:w="2467" w:type="dxa"/>
            <w:vMerge w:val="restart"/>
          </w:tcPr>
          <w:p w14:paraId="7C6DB90A" w14:textId="6B1A31FF" w:rsidR="00456E90" w:rsidRPr="00E84DF2"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Inflation </w:t>
            </w:r>
          </w:p>
        </w:tc>
        <w:tc>
          <w:tcPr>
            <w:tcW w:w="5538" w:type="dxa"/>
          </w:tcPr>
          <w:p w14:paraId="1860BCEE" w14:textId="1633F039" w:rsidR="00456E90" w:rsidRPr="00E84DF2" w:rsidRDefault="00456E90" w:rsidP="00456E90">
            <w:pPr>
              <w:textAlignment w:val="center"/>
              <w:rPr>
                <w:rFonts w:eastAsia="Roboto UKEB" w:cs="Arial"/>
                <w:color w:val="auto"/>
                <w:kern w:val="24"/>
                <w:sz w:val="20"/>
                <w:lang w:eastAsia="en-ZA"/>
              </w:rPr>
            </w:pPr>
            <w:r w:rsidRPr="00E84DF2">
              <w:rPr>
                <w:rFonts w:eastAsia="Roboto UKEB" w:cs="Arial"/>
                <w:color w:val="auto"/>
                <w:kern w:val="24"/>
                <w:sz w:val="20"/>
                <w:lang w:eastAsia="en-ZA"/>
              </w:rPr>
              <w:t xml:space="preserve">Assess whether, without amending other requirements of IAS 29, it could extend the scope of IAS 29 to include economies subject to high inflation </w:t>
            </w:r>
          </w:p>
        </w:tc>
        <w:tc>
          <w:tcPr>
            <w:tcW w:w="1170" w:type="dxa"/>
          </w:tcPr>
          <w:p w14:paraId="523CB985" w14:textId="619371ED" w:rsidR="00456E90" w:rsidRPr="00E84DF2" w:rsidRDefault="00456E90" w:rsidP="00456E90">
            <w:pPr>
              <w:rPr>
                <w:rFonts w:eastAsia="Roboto UKEB" w:cs="Arial"/>
                <w:color w:val="auto"/>
                <w:kern w:val="24"/>
                <w:sz w:val="20"/>
                <w:lang w:eastAsia="en-ZA"/>
              </w:rPr>
            </w:pPr>
            <w:r w:rsidRPr="00E84DF2">
              <w:rPr>
                <w:rFonts w:eastAsia="Roboto UKEB" w:cs="Arial"/>
                <w:color w:val="auto"/>
                <w:kern w:val="24"/>
                <w:sz w:val="20"/>
                <w:lang w:eastAsia="en-ZA"/>
              </w:rPr>
              <w:t>Small</w:t>
            </w:r>
          </w:p>
        </w:tc>
      </w:tr>
      <w:tr w:rsidR="00456E90" w:rsidRPr="00E84DF2" w14:paraId="76A86332" w14:textId="70868C47" w:rsidTr="004674F7">
        <w:trPr>
          <w:trHeight w:val="431"/>
        </w:trPr>
        <w:tc>
          <w:tcPr>
            <w:tcW w:w="2467" w:type="dxa"/>
            <w:vMerge/>
          </w:tcPr>
          <w:p w14:paraId="4DF828D8" w14:textId="5152F9CE" w:rsidR="00456E90" w:rsidRPr="00E84DF2" w:rsidRDefault="00456E90" w:rsidP="00456E90">
            <w:pPr>
              <w:textAlignment w:val="center"/>
              <w:rPr>
                <w:rFonts w:eastAsia="Roboto UKEB" w:cs="Arial"/>
                <w:color w:val="auto"/>
                <w:kern w:val="24"/>
                <w:sz w:val="20"/>
                <w:lang w:val="en-ZA" w:eastAsia="en-ZA"/>
              </w:rPr>
            </w:pPr>
          </w:p>
        </w:tc>
        <w:tc>
          <w:tcPr>
            <w:tcW w:w="5538" w:type="dxa"/>
          </w:tcPr>
          <w:p w14:paraId="4443C34E" w14:textId="15C7C4BC" w:rsidR="00456E90" w:rsidRPr="00E84DF2" w:rsidRDefault="00456E90" w:rsidP="00456E90">
            <w:pPr>
              <w:textAlignment w:val="center"/>
              <w:rPr>
                <w:rFonts w:eastAsia="Roboto UKEB" w:cs="Arial"/>
                <w:color w:val="auto"/>
                <w:kern w:val="24"/>
                <w:sz w:val="20"/>
                <w:lang w:val="en-ZA" w:eastAsia="en-ZA"/>
              </w:rPr>
            </w:pPr>
            <w:r w:rsidRPr="00E84DF2">
              <w:rPr>
                <w:rFonts w:eastAsia="Roboto UKEB" w:cs="Arial"/>
                <w:color w:val="auto"/>
                <w:kern w:val="24"/>
                <w:sz w:val="20"/>
                <w:lang w:eastAsia="en-ZA"/>
              </w:rPr>
              <w:t xml:space="preserve">Undertake a comprehensive review of IAS 29 </w:t>
            </w:r>
          </w:p>
        </w:tc>
        <w:tc>
          <w:tcPr>
            <w:tcW w:w="1170" w:type="dxa"/>
          </w:tcPr>
          <w:p w14:paraId="74C0714E" w14:textId="2BD31C77" w:rsidR="00456E90" w:rsidRPr="00E84DF2" w:rsidRDefault="00456E90" w:rsidP="00456E90">
            <w:pPr>
              <w:rPr>
                <w:rFonts w:eastAsia="Roboto UKEB" w:cs="Arial"/>
                <w:color w:val="auto"/>
                <w:kern w:val="24"/>
                <w:sz w:val="20"/>
                <w:lang w:val="en-ZA" w:eastAsia="en-ZA"/>
              </w:rPr>
            </w:pPr>
            <w:r w:rsidRPr="00E84DF2">
              <w:rPr>
                <w:rFonts w:eastAsia="Roboto UKEB" w:cs="Arial"/>
                <w:color w:val="auto"/>
                <w:kern w:val="24"/>
                <w:sz w:val="20"/>
                <w:lang w:eastAsia="en-ZA"/>
              </w:rPr>
              <w:t>Large</w:t>
            </w:r>
          </w:p>
        </w:tc>
      </w:tr>
      <w:tr w:rsidR="00456E90" w:rsidRPr="005A3D59" w14:paraId="0DE51D38" w14:textId="77777777" w:rsidTr="004674F7">
        <w:trPr>
          <w:trHeight w:val="288"/>
        </w:trPr>
        <w:tc>
          <w:tcPr>
            <w:tcW w:w="2467" w:type="dxa"/>
            <w:shd w:val="clear" w:color="auto" w:fill="F5F5F2" w:themeFill="accent3"/>
          </w:tcPr>
          <w:p w14:paraId="3ECE4E9F"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0BAB1104"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3CB88578" w14:textId="77777777" w:rsidR="00456E90" w:rsidRPr="005A3D59" w:rsidRDefault="00456E90" w:rsidP="00456E90">
            <w:pPr>
              <w:jc w:val="center"/>
              <w:rPr>
                <w:rFonts w:eastAsia="Roboto UKEB" w:cs="Arial"/>
                <w:color w:val="auto"/>
                <w:kern w:val="24"/>
                <w:sz w:val="20"/>
                <w:lang w:eastAsia="en-ZA"/>
              </w:rPr>
            </w:pPr>
          </w:p>
        </w:tc>
      </w:tr>
      <w:tr w:rsidR="00456E90" w:rsidRPr="00E84DF2" w14:paraId="22907FF9" w14:textId="77777777" w:rsidTr="004674F7">
        <w:trPr>
          <w:trHeight w:val="611"/>
        </w:trPr>
        <w:tc>
          <w:tcPr>
            <w:tcW w:w="2467" w:type="dxa"/>
            <w:vMerge w:val="restart"/>
          </w:tcPr>
          <w:p w14:paraId="68F7DDEE" w14:textId="0C2090DD" w:rsidR="00456E90" w:rsidRPr="00E84DF2"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Intangible assets</w:t>
            </w:r>
          </w:p>
        </w:tc>
        <w:tc>
          <w:tcPr>
            <w:tcW w:w="5538" w:type="dxa"/>
          </w:tcPr>
          <w:p w14:paraId="0809E847" w14:textId="11331555" w:rsidR="00456E90" w:rsidRPr="00E84DF2" w:rsidRDefault="00456E90" w:rsidP="00456E90">
            <w:pPr>
              <w:textAlignment w:val="center"/>
              <w:rPr>
                <w:rFonts w:eastAsia="Roboto UKEB" w:cs="Arial"/>
                <w:color w:val="auto"/>
                <w:kern w:val="24"/>
                <w:sz w:val="20"/>
                <w:lang w:eastAsia="en-ZA"/>
              </w:rPr>
            </w:pPr>
            <w:r w:rsidRPr="00E84DF2">
              <w:rPr>
                <w:rFonts w:eastAsia="Roboto UKEB" w:cs="Arial"/>
                <w:color w:val="auto"/>
                <w:kern w:val="24"/>
                <w:sz w:val="20"/>
                <w:lang w:eastAsia="en-ZA"/>
              </w:rPr>
              <w:t>Improve disclosures about intangibles not recognized as assets</w:t>
            </w:r>
          </w:p>
        </w:tc>
        <w:tc>
          <w:tcPr>
            <w:tcW w:w="1170" w:type="dxa"/>
          </w:tcPr>
          <w:p w14:paraId="7F20A615" w14:textId="05B1EE09" w:rsidR="00456E90" w:rsidRPr="00E84DF2" w:rsidRDefault="00456E90" w:rsidP="00456E90">
            <w:pPr>
              <w:rPr>
                <w:rFonts w:eastAsia="Roboto UKEB" w:cs="Arial"/>
                <w:color w:val="auto"/>
                <w:kern w:val="24"/>
                <w:sz w:val="20"/>
                <w:lang w:eastAsia="en-ZA"/>
              </w:rPr>
            </w:pPr>
            <w:r w:rsidRPr="00E84DF2">
              <w:rPr>
                <w:rFonts w:eastAsia="Roboto UKEB" w:cs="Arial"/>
                <w:color w:val="auto"/>
                <w:kern w:val="24"/>
                <w:sz w:val="20"/>
                <w:lang w:eastAsia="en-ZA"/>
              </w:rPr>
              <w:t>Medium</w:t>
            </w:r>
          </w:p>
        </w:tc>
      </w:tr>
      <w:tr w:rsidR="00456E90" w:rsidRPr="00E84DF2" w14:paraId="1CCA94C2" w14:textId="16057736" w:rsidTr="004674F7">
        <w:trPr>
          <w:trHeight w:val="800"/>
        </w:trPr>
        <w:tc>
          <w:tcPr>
            <w:tcW w:w="2467" w:type="dxa"/>
            <w:vMerge/>
          </w:tcPr>
          <w:p w14:paraId="4E73D521" w14:textId="0BCD19A5" w:rsidR="00456E90" w:rsidRPr="00E84DF2" w:rsidRDefault="00456E90" w:rsidP="00456E90">
            <w:pPr>
              <w:textAlignment w:val="center"/>
              <w:rPr>
                <w:rFonts w:eastAsia="Roboto UKEB" w:cs="Arial"/>
                <w:color w:val="auto"/>
                <w:kern w:val="24"/>
                <w:sz w:val="20"/>
                <w:lang w:val="en-ZA" w:eastAsia="en-ZA"/>
              </w:rPr>
            </w:pPr>
          </w:p>
        </w:tc>
        <w:tc>
          <w:tcPr>
            <w:tcW w:w="5538" w:type="dxa"/>
          </w:tcPr>
          <w:p w14:paraId="22D484AE" w14:textId="77777777" w:rsidR="00456E90" w:rsidRPr="00E84DF2" w:rsidRDefault="00456E90" w:rsidP="00456E90">
            <w:pPr>
              <w:textAlignment w:val="center"/>
              <w:rPr>
                <w:rFonts w:eastAsia="Roboto UKEB" w:cs="Arial"/>
                <w:color w:val="auto"/>
                <w:kern w:val="24"/>
                <w:sz w:val="20"/>
                <w:lang w:val="en-ZA" w:eastAsia="en-ZA"/>
              </w:rPr>
            </w:pPr>
            <w:r w:rsidRPr="00E84DF2">
              <w:rPr>
                <w:rFonts w:eastAsia="Roboto UKEB" w:cs="Arial"/>
                <w:color w:val="auto"/>
                <w:kern w:val="24"/>
                <w:sz w:val="20"/>
                <w:lang w:eastAsia="en-ZA"/>
              </w:rPr>
              <w:t>Improve disclosures about the fair value of some intangible assets,</w:t>
            </w:r>
          </w:p>
          <w:p w14:paraId="4CC42BA1" w14:textId="4DF2C21B" w:rsidR="00456E90" w:rsidRPr="00E84DF2" w:rsidRDefault="00456E90" w:rsidP="00456E90">
            <w:pPr>
              <w:textAlignment w:val="center"/>
              <w:rPr>
                <w:rFonts w:eastAsia="Roboto UKEB" w:cs="Arial"/>
                <w:color w:val="auto"/>
                <w:kern w:val="24"/>
                <w:sz w:val="20"/>
                <w:lang w:val="en-ZA" w:eastAsia="en-ZA"/>
              </w:rPr>
            </w:pPr>
            <w:r w:rsidRPr="00E84DF2">
              <w:rPr>
                <w:rFonts w:eastAsia="Roboto UKEB" w:cs="Arial"/>
                <w:color w:val="auto"/>
                <w:kern w:val="24"/>
                <w:sz w:val="20"/>
                <w:lang w:eastAsia="en-ZA"/>
              </w:rPr>
              <w:t>especially those held for investment</w:t>
            </w:r>
          </w:p>
        </w:tc>
        <w:tc>
          <w:tcPr>
            <w:tcW w:w="1170" w:type="dxa"/>
          </w:tcPr>
          <w:p w14:paraId="6ABAFEF9" w14:textId="750D56CE" w:rsidR="00456E90" w:rsidRPr="00E84DF2" w:rsidRDefault="00456E90" w:rsidP="00456E90">
            <w:pPr>
              <w:rPr>
                <w:rFonts w:eastAsia="Roboto UKEB" w:cs="Arial"/>
                <w:color w:val="auto"/>
                <w:kern w:val="24"/>
                <w:sz w:val="20"/>
                <w:lang w:val="en-ZA" w:eastAsia="en-ZA"/>
              </w:rPr>
            </w:pPr>
            <w:r w:rsidRPr="00E84DF2">
              <w:rPr>
                <w:rFonts w:eastAsia="Roboto UKEB" w:cs="Arial"/>
                <w:color w:val="auto"/>
                <w:kern w:val="24"/>
                <w:sz w:val="20"/>
                <w:lang w:eastAsia="en-ZA"/>
              </w:rPr>
              <w:t>Medium</w:t>
            </w:r>
          </w:p>
        </w:tc>
      </w:tr>
      <w:tr w:rsidR="00456E90" w:rsidRPr="00E84DF2" w14:paraId="4598F6C4" w14:textId="1BC8043D" w:rsidTr="000638AC">
        <w:trPr>
          <w:trHeight w:val="692"/>
        </w:trPr>
        <w:tc>
          <w:tcPr>
            <w:tcW w:w="2467" w:type="dxa"/>
            <w:vMerge/>
          </w:tcPr>
          <w:p w14:paraId="46FEB87F" w14:textId="5ED0D87A" w:rsidR="00456E90" w:rsidRPr="00E84DF2" w:rsidRDefault="00456E90" w:rsidP="00456E90">
            <w:pPr>
              <w:textAlignment w:val="center"/>
              <w:rPr>
                <w:rFonts w:eastAsia="Roboto UKEB" w:cs="Arial"/>
                <w:color w:val="auto"/>
                <w:kern w:val="24"/>
                <w:sz w:val="20"/>
                <w:lang w:val="en-ZA" w:eastAsia="en-ZA"/>
              </w:rPr>
            </w:pPr>
          </w:p>
        </w:tc>
        <w:tc>
          <w:tcPr>
            <w:tcW w:w="5538" w:type="dxa"/>
          </w:tcPr>
          <w:p w14:paraId="34F8BDDF" w14:textId="63C2119B" w:rsidR="00456E90" w:rsidRPr="00E84DF2" w:rsidRDefault="00456E90" w:rsidP="00456E90">
            <w:pPr>
              <w:textAlignment w:val="center"/>
              <w:rPr>
                <w:rFonts w:eastAsia="Roboto UKEB" w:cs="Arial"/>
                <w:color w:val="auto"/>
                <w:kern w:val="24"/>
                <w:sz w:val="20"/>
                <w:lang w:val="en-ZA" w:eastAsia="en-ZA"/>
              </w:rPr>
            </w:pPr>
            <w:r w:rsidRPr="00E84DF2">
              <w:rPr>
                <w:rFonts w:eastAsia="Roboto UKEB" w:cs="Arial"/>
                <w:color w:val="auto"/>
                <w:kern w:val="24"/>
                <w:sz w:val="20"/>
                <w:lang w:eastAsia="en-ZA"/>
              </w:rPr>
              <w:t>Undertake a comprehensive review of the Standard, including the</w:t>
            </w:r>
            <w:r>
              <w:rPr>
                <w:rFonts w:eastAsia="Roboto UKEB" w:cs="Arial"/>
                <w:color w:val="auto"/>
                <w:kern w:val="24"/>
                <w:sz w:val="20"/>
                <w:lang w:eastAsia="en-ZA"/>
              </w:rPr>
              <w:t xml:space="preserve"> </w:t>
            </w:r>
            <w:r w:rsidRPr="00E84DF2">
              <w:rPr>
                <w:rFonts w:eastAsia="Roboto UKEB" w:cs="Arial"/>
                <w:color w:val="auto"/>
                <w:kern w:val="24"/>
                <w:sz w:val="20"/>
                <w:lang w:val="en-ZA" w:eastAsia="en-ZA"/>
              </w:rPr>
              <w:t>definition of intangible assets</w:t>
            </w:r>
          </w:p>
        </w:tc>
        <w:tc>
          <w:tcPr>
            <w:tcW w:w="1170" w:type="dxa"/>
          </w:tcPr>
          <w:p w14:paraId="6357651C" w14:textId="56AC92B9" w:rsidR="00456E90" w:rsidRPr="00E84DF2" w:rsidRDefault="00456E90" w:rsidP="00456E90">
            <w:pPr>
              <w:rPr>
                <w:rFonts w:eastAsia="Roboto UKEB" w:cs="Arial"/>
                <w:color w:val="auto"/>
                <w:kern w:val="24"/>
                <w:sz w:val="20"/>
                <w:lang w:val="en-ZA" w:eastAsia="en-ZA"/>
              </w:rPr>
            </w:pPr>
            <w:r w:rsidRPr="00E84DF2">
              <w:rPr>
                <w:rFonts w:eastAsia="Roboto UKEB" w:cs="Arial"/>
                <w:color w:val="auto"/>
                <w:kern w:val="24"/>
                <w:sz w:val="20"/>
                <w:lang w:eastAsia="en-ZA"/>
              </w:rPr>
              <w:t>Large</w:t>
            </w:r>
          </w:p>
        </w:tc>
      </w:tr>
      <w:tr w:rsidR="00456E90" w:rsidRPr="005A3D59" w14:paraId="4954E6C7" w14:textId="77777777" w:rsidTr="004674F7">
        <w:trPr>
          <w:trHeight w:val="288"/>
        </w:trPr>
        <w:tc>
          <w:tcPr>
            <w:tcW w:w="2467" w:type="dxa"/>
            <w:shd w:val="clear" w:color="auto" w:fill="F5F5F2" w:themeFill="accent3"/>
          </w:tcPr>
          <w:p w14:paraId="09122CA7"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1947AB48"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6D82ADDD" w14:textId="77777777" w:rsidR="00456E90" w:rsidRPr="005A3D59" w:rsidRDefault="00456E90" w:rsidP="00456E90">
            <w:pPr>
              <w:jc w:val="center"/>
              <w:rPr>
                <w:rFonts w:eastAsia="Roboto UKEB" w:cs="Arial"/>
                <w:color w:val="auto"/>
                <w:kern w:val="24"/>
                <w:sz w:val="20"/>
                <w:lang w:eastAsia="en-ZA"/>
              </w:rPr>
            </w:pPr>
          </w:p>
        </w:tc>
      </w:tr>
      <w:tr w:rsidR="00456E90" w:rsidRPr="005A3D59" w14:paraId="6DFF6013" w14:textId="77777777" w:rsidTr="004674F7">
        <w:trPr>
          <w:trHeight w:val="845"/>
        </w:trPr>
        <w:tc>
          <w:tcPr>
            <w:tcW w:w="2467" w:type="dxa"/>
            <w:vMerge w:val="restart"/>
          </w:tcPr>
          <w:p w14:paraId="3DA5EB20" w14:textId="28FD93E0"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Interim reporting </w:t>
            </w:r>
          </w:p>
        </w:tc>
        <w:tc>
          <w:tcPr>
            <w:tcW w:w="5538" w:type="dxa"/>
          </w:tcPr>
          <w:p w14:paraId="2139ECA4" w14:textId="2CA9C889" w:rsidR="00456E90" w:rsidRPr="002F6144" w:rsidRDefault="00456E90" w:rsidP="00456E90">
            <w:pPr>
              <w:textAlignment w:val="center"/>
              <w:rPr>
                <w:rFonts w:eastAsia="Roboto UKEB" w:cs="Arial"/>
                <w:color w:val="auto"/>
                <w:kern w:val="24"/>
                <w:sz w:val="20"/>
                <w:lang w:eastAsia="en-ZA"/>
              </w:rPr>
            </w:pPr>
            <w:r w:rsidRPr="002F6144">
              <w:rPr>
                <w:rFonts w:eastAsia="Roboto UKEB" w:cs="Arial"/>
                <w:color w:val="auto"/>
                <w:kern w:val="24"/>
                <w:sz w:val="20"/>
                <w:lang w:eastAsia="en-ZA"/>
              </w:rPr>
              <w:t xml:space="preserve">Develop enhanced disclosure requirements to provide an update on the latest complete set of annual financial statements </w:t>
            </w:r>
          </w:p>
        </w:tc>
        <w:tc>
          <w:tcPr>
            <w:tcW w:w="1170" w:type="dxa"/>
          </w:tcPr>
          <w:p w14:paraId="46380407" w14:textId="087EF5E8" w:rsidR="00456E90" w:rsidRPr="002F6144" w:rsidRDefault="00456E90" w:rsidP="00456E90">
            <w:pPr>
              <w:rPr>
                <w:rFonts w:eastAsia="Roboto UKEB" w:cs="Arial"/>
                <w:color w:val="auto"/>
                <w:kern w:val="24"/>
                <w:sz w:val="20"/>
                <w:lang w:eastAsia="en-ZA"/>
              </w:rPr>
            </w:pPr>
            <w:r w:rsidRPr="002F6144">
              <w:rPr>
                <w:rFonts w:eastAsia="Roboto UKEB" w:cs="Arial"/>
                <w:color w:val="auto"/>
                <w:kern w:val="24"/>
                <w:sz w:val="20"/>
                <w:lang w:eastAsia="en-ZA"/>
              </w:rPr>
              <w:t>Small</w:t>
            </w:r>
          </w:p>
        </w:tc>
      </w:tr>
      <w:tr w:rsidR="00456E90" w:rsidRPr="002F6144" w14:paraId="4A8FF541" w14:textId="09AC795C" w:rsidTr="004674F7">
        <w:trPr>
          <w:trHeight w:val="836"/>
        </w:trPr>
        <w:tc>
          <w:tcPr>
            <w:tcW w:w="2467" w:type="dxa"/>
            <w:vMerge/>
          </w:tcPr>
          <w:p w14:paraId="0CDF9532" w14:textId="1B8BDC1A" w:rsidR="00456E90" w:rsidRPr="002F6144" w:rsidRDefault="00456E90" w:rsidP="00456E90">
            <w:pPr>
              <w:textAlignment w:val="center"/>
              <w:rPr>
                <w:rFonts w:eastAsia="Roboto UKEB" w:cs="Arial"/>
                <w:color w:val="auto"/>
                <w:kern w:val="24"/>
                <w:sz w:val="20"/>
                <w:lang w:val="en-ZA" w:eastAsia="en-ZA"/>
              </w:rPr>
            </w:pPr>
          </w:p>
        </w:tc>
        <w:tc>
          <w:tcPr>
            <w:tcW w:w="5538" w:type="dxa"/>
          </w:tcPr>
          <w:p w14:paraId="786B61B3" w14:textId="1857E652"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 xml:space="preserve">Clarify what transition disclosures are required in interim financial statements in the first year of applying a new Standard or major amendment </w:t>
            </w:r>
          </w:p>
        </w:tc>
        <w:tc>
          <w:tcPr>
            <w:tcW w:w="1170" w:type="dxa"/>
          </w:tcPr>
          <w:p w14:paraId="38B87B1D" w14:textId="7F2BA902"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Small</w:t>
            </w:r>
          </w:p>
        </w:tc>
      </w:tr>
      <w:tr w:rsidR="00456E90" w:rsidRPr="002F6144" w14:paraId="474245A6" w14:textId="48FFAE08" w:rsidTr="004674F7">
        <w:trPr>
          <w:trHeight w:val="881"/>
        </w:trPr>
        <w:tc>
          <w:tcPr>
            <w:tcW w:w="2467" w:type="dxa"/>
            <w:vMerge/>
          </w:tcPr>
          <w:p w14:paraId="0FC0A7BE" w14:textId="6D2B6198" w:rsidR="00456E90" w:rsidRPr="002F6144" w:rsidRDefault="00456E90" w:rsidP="00456E90">
            <w:pPr>
              <w:textAlignment w:val="center"/>
              <w:rPr>
                <w:rFonts w:eastAsia="Roboto UKEB" w:cs="Arial"/>
                <w:color w:val="auto"/>
                <w:kern w:val="24"/>
                <w:sz w:val="20"/>
                <w:lang w:val="en-ZA" w:eastAsia="en-ZA"/>
              </w:rPr>
            </w:pPr>
          </w:p>
        </w:tc>
        <w:tc>
          <w:tcPr>
            <w:tcW w:w="5538" w:type="dxa"/>
          </w:tcPr>
          <w:p w14:paraId="6CEFD16D" w14:textId="6D3B544B"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 xml:space="preserve">Address interim accounting issues in each new IFRS Standard or major amendment as it is developed rather than relying on IAS 34 </w:t>
            </w:r>
          </w:p>
        </w:tc>
        <w:tc>
          <w:tcPr>
            <w:tcW w:w="1170" w:type="dxa"/>
          </w:tcPr>
          <w:p w14:paraId="7C0C47F7" w14:textId="77777777" w:rsidR="00456E90" w:rsidRDefault="00456E90" w:rsidP="00456E90">
            <w:pPr>
              <w:rPr>
                <w:rFonts w:eastAsia="Roboto UKEB" w:cs="Arial"/>
                <w:color w:val="auto"/>
                <w:kern w:val="24"/>
                <w:sz w:val="20"/>
                <w:lang w:eastAsia="en-ZA"/>
              </w:rPr>
            </w:pPr>
            <w:r>
              <w:rPr>
                <w:rFonts w:eastAsia="Roboto UKEB" w:cs="Arial"/>
                <w:color w:val="auto"/>
                <w:kern w:val="24"/>
                <w:sz w:val="20"/>
                <w:lang w:eastAsia="en-ZA"/>
              </w:rPr>
              <w:t>Small/</w:t>
            </w:r>
          </w:p>
          <w:p w14:paraId="13C44FF0" w14:textId="7A391CA1"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Medium</w:t>
            </w:r>
          </w:p>
        </w:tc>
      </w:tr>
      <w:tr w:rsidR="00456E90" w:rsidRPr="002F6144" w14:paraId="153A0334" w14:textId="490BE518" w:rsidTr="004674F7">
        <w:trPr>
          <w:trHeight w:val="602"/>
        </w:trPr>
        <w:tc>
          <w:tcPr>
            <w:tcW w:w="2467" w:type="dxa"/>
            <w:vMerge/>
          </w:tcPr>
          <w:p w14:paraId="5476BF4E" w14:textId="605B971F" w:rsidR="00456E90" w:rsidRPr="002F6144" w:rsidRDefault="00456E90" w:rsidP="00456E90">
            <w:pPr>
              <w:textAlignment w:val="center"/>
              <w:rPr>
                <w:rFonts w:eastAsia="Roboto UKEB" w:cs="Arial"/>
                <w:color w:val="auto"/>
                <w:kern w:val="24"/>
                <w:sz w:val="20"/>
                <w:lang w:val="en-ZA" w:eastAsia="en-ZA"/>
              </w:rPr>
            </w:pPr>
          </w:p>
        </w:tc>
        <w:tc>
          <w:tcPr>
            <w:tcW w:w="5538" w:type="dxa"/>
          </w:tcPr>
          <w:p w14:paraId="6A95F08B" w14:textId="5C786D40"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Review the requirements of IAS 34 to address all the concerns raised</w:t>
            </w:r>
          </w:p>
        </w:tc>
        <w:tc>
          <w:tcPr>
            <w:tcW w:w="1170" w:type="dxa"/>
          </w:tcPr>
          <w:p w14:paraId="68609671" w14:textId="1304284A"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Large</w:t>
            </w:r>
          </w:p>
        </w:tc>
      </w:tr>
      <w:tr w:rsidR="00456E90" w:rsidRPr="005A3D59" w14:paraId="6FDB88C8" w14:textId="77777777" w:rsidTr="004674F7">
        <w:trPr>
          <w:trHeight w:val="288"/>
        </w:trPr>
        <w:tc>
          <w:tcPr>
            <w:tcW w:w="2467" w:type="dxa"/>
            <w:shd w:val="clear" w:color="auto" w:fill="F5F5F2" w:themeFill="accent3"/>
          </w:tcPr>
          <w:p w14:paraId="2CBA2A67"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7CF980EA"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0AD38680" w14:textId="77777777" w:rsidR="00456E90" w:rsidRPr="005A3D59" w:rsidRDefault="00456E90" w:rsidP="00456E90">
            <w:pPr>
              <w:jc w:val="center"/>
              <w:rPr>
                <w:rFonts w:eastAsia="Roboto UKEB" w:cs="Arial"/>
                <w:color w:val="auto"/>
                <w:kern w:val="24"/>
                <w:sz w:val="20"/>
                <w:lang w:eastAsia="en-ZA"/>
              </w:rPr>
            </w:pPr>
          </w:p>
        </w:tc>
      </w:tr>
      <w:tr w:rsidR="00456E90" w:rsidRPr="005A3D59" w14:paraId="3A4CD01C" w14:textId="77777777" w:rsidTr="004674F7">
        <w:trPr>
          <w:trHeight w:val="593"/>
        </w:trPr>
        <w:tc>
          <w:tcPr>
            <w:tcW w:w="2467" w:type="dxa"/>
          </w:tcPr>
          <w:p w14:paraId="15FE8029" w14:textId="16F19B78"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Negative interest rates </w:t>
            </w:r>
          </w:p>
        </w:tc>
        <w:tc>
          <w:tcPr>
            <w:tcW w:w="5538" w:type="dxa"/>
          </w:tcPr>
          <w:p w14:paraId="5F8760D6" w14:textId="412C8B1E"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A project to develop specific accounting requirements for negative interest rates is likely to be a medium-sized project</w:t>
            </w:r>
          </w:p>
        </w:tc>
        <w:tc>
          <w:tcPr>
            <w:tcW w:w="1170" w:type="dxa"/>
          </w:tcPr>
          <w:p w14:paraId="679AD791" w14:textId="2F0F43AA"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Medium</w:t>
            </w:r>
          </w:p>
        </w:tc>
      </w:tr>
      <w:tr w:rsidR="00456E90" w:rsidRPr="005A3D59" w14:paraId="3E0724C9" w14:textId="77777777" w:rsidTr="004674F7">
        <w:trPr>
          <w:trHeight w:val="288"/>
        </w:trPr>
        <w:tc>
          <w:tcPr>
            <w:tcW w:w="2467" w:type="dxa"/>
            <w:shd w:val="clear" w:color="auto" w:fill="F5F5F2" w:themeFill="accent3"/>
          </w:tcPr>
          <w:p w14:paraId="695BAAF9"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7CBB1282"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2FC1EF54" w14:textId="77777777" w:rsidR="00456E90" w:rsidRPr="005A3D59" w:rsidRDefault="00456E90" w:rsidP="00456E90">
            <w:pPr>
              <w:rPr>
                <w:rFonts w:eastAsia="Roboto UKEB" w:cs="Arial"/>
                <w:color w:val="auto"/>
                <w:kern w:val="24"/>
                <w:sz w:val="20"/>
                <w:lang w:eastAsia="en-ZA"/>
              </w:rPr>
            </w:pPr>
          </w:p>
        </w:tc>
      </w:tr>
      <w:tr w:rsidR="00456E90" w:rsidRPr="005A3D59" w14:paraId="4DD6303E" w14:textId="77777777" w:rsidTr="004674F7">
        <w:trPr>
          <w:trHeight w:val="818"/>
        </w:trPr>
        <w:tc>
          <w:tcPr>
            <w:tcW w:w="2467" w:type="dxa"/>
          </w:tcPr>
          <w:p w14:paraId="40E4AA71" w14:textId="0E6E66CA"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Operating segments </w:t>
            </w:r>
          </w:p>
        </w:tc>
        <w:tc>
          <w:tcPr>
            <w:tcW w:w="5538" w:type="dxa"/>
          </w:tcPr>
          <w:p w14:paraId="1F6B826D" w14:textId="321A9756"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 xml:space="preserve">Targeted improvements to the segment aggregation criteria and enhanced disclosures may provide investors with more decision-useful information </w:t>
            </w:r>
          </w:p>
        </w:tc>
        <w:tc>
          <w:tcPr>
            <w:tcW w:w="1170" w:type="dxa"/>
          </w:tcPr>
          <w:p w14:paraId="7A774D1C" w14:textId="57E32DB5"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 xml:space="preserve">Medium </w:t>
            </w:r>
          </w:p>
        </w:tc>
      </w:tr>
      <w:tr w:rsidR="00456E90" w:rsidRPr="005A3D59" w14:paraId="72DF446E" w14:textId="77777777" w:rsidTr="004674F7">
        <w:trPr>
          <w:trHeight w:val="288"/>
        </w:trPr>
        <w:tc>
          <w:tcPr>
            <w:tcW w:w="2467" w:type="dxa"/>
            <w:shd w:val="clear" w:color="auto" w:fill="F5F5F2" w:themeFill="accent3"/>
          </w:tcPr>
          <w:p w14:paraId="2278070F"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71B399CC"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12200EAA" w14:textId="77777777" w:rsidR="00456E90" w:rsidRPr="005A3D59" w:rsidRDefault="00456E90" w:rsidP="00456E90">
            <w:pPr>
              <w:rPr>
                <w:rFonts w:eastAsia="Roboto UKEB" w:cs="Arial"/>
                <w:color w:val="auto"/>
                <w:kern w:val="24"/>
                <w:sz w:val="20"/>
                <w:lang w:eastAsia="en-ZA"/>
              </w:rPr>
            </w:pPr>
          </w:p>
        </w:tc>
      </w:tr>
      <w:tr w:rsidR="00456E90" w:rsidRPr="005A3D59" w14:paraId="0AF53510" w14:textId="77777777" w:rsidTr="004674F7">
        <w:trPr>
          <w:trHeight w:val="1304"/>
        </w:trPr>
        <w:tc>
          <w:tcPr>
            <w:tcW w:w="2467" w:type="dxa"/>
          </w:tcPr>
          <w:p w14:paraId="28C4803D" w14:textId="5C09D24B"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Other comprehensive income </w:t>
            </w:r>
          </w:p>
        </w:tc>
        <w:tc>
          <w:tcPr>
            <w:tcW w:w="5538" w:type="dxa"/>
          </w:tcPr>
          <w:p w14:paraId="3E0E7476" w14:textId="77777777"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Applying the principles for the classification of income and expenses in other comprehensive income (and recycling) in the Conceptual Framework to IFRS Standards and considering whether to amend the requirements of those IFRS Standards is likely to be a large project.</w:t>
            </w:r>
          </w:p>
          <w:p w14:paraId="15787C81" w14:textId="77777777" w:rsidR="00456E90" w:rsidRPr="005A3D59" w:rsidRDefault="00456E90" w:rsidP="00456E90">
            <w:pPr>
              <w:textAlignment w:val="center"/>
              <w:rPr>
                <w:rFonts w:eastAsia="Roboto UKEB" w:cs="Arial"/>
                <w:color w:val="auto"/>
                <w:kern w:val="24"/>
                <w:sz w:val="20"/>
                <w:lang w:eastAsia="en-ZA"/>
              </w:rPr>
            </w:pPr>
          </w:p>
        </w:tc>
        <w:tc>
          <w:tcPr>
            <w:tcW w:w="1170" w:type="dxa"/>
          </w:tcPr>
          <w:p w14:paraId="4A4D1A42" w14:textId="7C8EC4BF"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Large</w:t>
            </w:r>
          </w:p>
        </w:tc>
      </w:tr>
      <w:tr w:rsidR="00456E90" w:rsidRPr="005A3D59" w14:paraId="5838B889" w14:textId="77777777" w:rsidTr="004674F7">
        <w:trPr>
          <w:trHeight w:val="288"/>
        </w:trPr>
        <w:tc>
          <w:tcPr>
            <w:tcW w:w="2467" w:type="dxa"/>
            <w:shd w:val="clear" w:color="auto" w:fill="F5F5F2" w:themeFill="accent3"/>
          </w:tcPr>
          <w:p w14:paraId="035B3308"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5CC16AD5"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032C5EAD" w14:textId="77777777" w:rsidR="00456E90" w:rsidRPr="005A3D59" w:rsidRDefault="00456E90" w:rsidP="00456E90">
            <w:pPr>
              <w:rPr>
                <w:rFonts w:eastAsia="Roboto UKEB" w:cs="Arial"/>
                <w:color w:val="auto"/>
                <w:kern w:val="24"/>
                <w:sz w:val="20"/>
                <w:lang w:eastAsia="en-ZA"/>
              </w:rPr>
            </w:pPr>
          </w:p>
        </w:tc>
      </w:tr>
      <w:tr w:rsidR="00456E90" w:rsidRPr="005A3D59" w14:paraId="77206BCE" w14:textId="77777777" w:rsidTr="004674F7">
        <w:trPr>
          <w:trHeight w:val="288"/>
        </w:trPr>
        <w:tc>
          <w:tcPr>
            <w:tcW w:w="2467" w:type="dxa"/>
          </w:tcPr>
          <w:p w14:paraId="4E4A0B76" w14:textId="1FA98A46"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sidRPr="002F6144">
              <w:rPr>
                <w:rFonts w:eastAsia="Roboto UKEB" w:cs="Arial"/>
                <w:color w:val="auto"/>
                <w:kern w:val="24"/>
                <w:sz w:val="20"/>
                <w:lang w:eastAsia="en-ZA"/>
              </w:rPr>
              <w:t>Pollutant Pricing Mechanisms</w:t>
            </w:r>
          </w:p>
        </w:tc>
        <w:tc>
          <w:tcPr>
            <w:tcW w:w="5538" w:type="dxa"/>
          </w:tcPr>
          <w:p w14:paraId="09A69798" w14:textId="3A49A817" w:rsidR="00456E90" w:rsidRPr="004674F7"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Development of accounting requirements for various types of pollutant pricing mechanisms is likely to be a large project.</w:t>
            </w:r>
          </w:p>
        </w:tc>
        <w:tc>
          <w:tcPr>
            <w:tcW w:w="1170" w:type="dxa"/>
          </w:tcPr>
          <w:p w14:paraId="57126102" w14:textId="759B335C"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 xml:space="preserve">Large </w:t>
            </w:r>
          </w:p>
        </w:tc>
      </w:tr>
      <w:tr w:rsidR="00456E90" w:rsidRPr="005A3D59" w14:paraId="608E64D7" w14:textId="77777777" w:rsidTr="004674F7">
        <w:trPr>
          <w:trHeight w:val="288"/>
        </w:trPr>
        <w:tc>
          <w:tcPr>
            <w:tcW w:w="2467" w:type="dxa"/>
            <w:shd w:val="clear" w:color="auto" w:fill="F5F5F2" w:themeFill="accent3"/>
          </w:tcPr>
          <w:p w14:paraId="159179AB"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08F55DF5"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48222265" w14:textId="77777777" w:rsidR="00456E90" w:rsidRPr="005A3D59" w:rsidRDefault="00456E90" w:rsidP="00456E90">
            <w:pPr>
              <w:rPr>
                <w:rFonts w:eastAsia="Roboto UKEB" w:cs="Arial"/>
                <w:color w:val="auto"/>
                <w:kern w:val="24"/>
                <w:sz w:val="20"/>
                <w:lang w:eastAsia="en-ZA"/>
              </w:rPr>
            </w:pPr>
          </w:p>
        </w:tc>
      </w:tr>
      <w:tr w:rsidR="00456E90" w:rsidRPr="002F6144" w14:paraId="3F035143" w14:textId="77777777" w:rsidTr="004674F7">
        <w:trPr>
          <w:trHeight w:val="288"/>
        </w:trPr>
        <w:tc>
          <w:tcPr>
            <w:tcW w:w="2467" w:type="dxa"/>
            <w:vMerge w:val="restart"/>
          </w:tcPr>
          <w:p w14:paraId="005A5B36" w14:textId="210453E3"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 xml:space="preserve">Separate financial statements </w:t>
            </w:r>
          </w:p>
        </w:tc>
        <w:tc>
          <w:tcPr>
            <w:tcW w:w="5538" w:type="dxa"/>
          </w:tcPr>
          <w:p w14:paraId="2569DC0B" w14:textId="1408A8B4" w:rsidR="00456E90" w:rsidRPr="002F6144" w:rsidRDefault="00456E90" w:rsidP="00456E90">
            <w:pPr>
              <w:textAlignment w:val="center"/>
              <w:rPr>
                <w:rFonts w:eastAsia="Roboto UKEB" w:cs="Arial"/>
                <w:color w:val="auto"/>
                <w:kern w:val="24"/>
                <w:sz w:val="20"/>
                <w:lang w:eastAsia="en-ZA"/>
              </w:rPr>
            </w:pPr>
            <w:r w:rsidRPr="002F6144">
              <w:rPr>
                <w:rFonts w:eastAsia="Roboto UKEB" w:cs="Arial"/>
                <w:color w:val="auto"/>
                <w:kern w:val="24"/>
                <w:sz w:val="20"/>
                <w:lang w:eastAsia="en-ZA"/>
              </w:rPr>
              <w:t>Develop more disclosure requirements in separate financial statements</w:t>
            </w:r>
          </w:p>
        </w:tc>
        <w:tc>
          <w:tcPr>
            <w:tcW w:w="1170" w:type="dxa"/>
          </w:tcPr>
          <w:p w14:paraId="692B5907" w14:textId="2B3CCBB9" w:rsidR="00456E90" w:rsidRPr="002F6144" w:rsidRDefault="00456E90" w:rsidP="00456E90">
            <w:pPr>
              <w:rPr>
                <w:rFonts w:eastAsia="Roboto UKEB" w:cs="Arial"/>
                <w:color w:val="auto"/>
                <w:kern w:val="24"/>
                <w:sz w:val="20"/>
                <w:lang w:eastAsia="en-ZA"/>
              </w:rPr>
            </w:pPr>
            <w:r w:rsidRPr="002F6144">
              <w:rPr>
                <w:rFonts w:eastAsia="Roboto UKEB" w:cs="Arial"/>
                <w:color w:val="auto"/>
                <w:kern w:val="24"/>
                <w:sz w:val="20"/>
                <w:lang w:eastAsia="en-ZA"/>
              </w:rPr>
              <w:t>Small</w:t>
            </w:r>
          </w:p>
        </w:tc>
      </w:tr>
      <w:tr w:rsidR="00456E90" w:rsidRPr="002F6144" w14:paraId="4C342E35" w14:textId="77777777" w:rsidTr="004674F7">
        <w:trPr>
          <w:trHeight w:val="530"/>
        </w:trPr>
        <w:tc>
          <w:tcPr>
            <w:tcW w:w="2467" w:type="dxa"/>
            <w:vMerge/>
          </w:tcPr>
          <w:p w14:paraId="6087B686" w14:textId="77777777" w:rsidR="00456E90" w:rsidRPr="005A3D59" w:rsidRDefault="00456E90" w:rsidP="00456E90">
            <w:pPr>
              <w:textAlignment w:val="center"/>
              <w:rPr>
                <w:rFonts w:eastAsia="Roboto UKEB" w:cs="Arial"/>
                <w:color w:val="auto"/>
                <w:kern w:val="24"/>
                <w:sz w:val="20"/>
                <w:lang w:eastAsia="en-ZA"/>
              </w:rPr>
            </w:pPr>
          </w:p>
        </w:tc>
        <w:tc>
          <w:tcPr>
            <w:tcW w:w="5538" w:type="dxa"/>
          </w:tcPr>
          <w:p w14:paraId="51721210" w14:textId="566032E0" w:rsidR="00456E90" w:rsidRPr="002F6144" w:rsidRDefault="00456E90" w:rsidP="00456E90">
            <w:pPr>
              <w:textAlignment w:val="center"/>
              <w:rPr>
                <w:rFonts w:eastAsia="Roboto UKEB" w:cs="Arial"/>
                <w:color w:val="auto"/>
                <w:kern w:val="24"/>
                <w:sz w:val="20"/>
                <w:lang w:eastAsia="en-ZA"/>
              </w:rPr>
            </w:pPr>
            <w:r w:rsidRPr="002F6144">
              <w:rPr>
                <w:rFonts w:eastAsia="Roboto UKEB" w:cs="Arial"/>
                <w:color w:val="auto"/>
                <w:kern w:val="24"/>
                <w:sz w:val="20"/>
                <w:lang w:eastAsia="en-ZA"/>
              </w:rPr>
              <w:t>Address some of the specific application questions separately</w:t>
            </w:r>
          </w:p>
        </w:tc>
        <w:tc>
          <w:tcPr>
            <w:tcW w:w="1170" w:type="dxa"/>
          </w:tcPr>
          <w:p w14:paraId="331305DA" w14:textId="77777777" w:rsidR="00456E90" w:rsidRDefault="00456E90" w:rsidP="00456E90">
            <w:pPr>
              <w:rPr>
                <w:rFonts w:eastAsia="Roboto UKEB" w:cs="Arial"/>
                <w:color w:val="auto"/>
                <w:kern w:val="24"/>
                <w:sz w:val="20"/>
                <w:lang w:eastAsia="en-ZA"/>
              </w:rPr>
            </w:pPr>
            <w:r>
              <w:rPr>
                <w:rFonts w:eastAsia="Roboto UKEB" w:cs="Arial"/>
                <w:color w:val="auto"/>
                <w:kern w:val="24"/>
                <w:sz w:val="20"/>
                <w:lang w:eastAsia="en-ZA"/>
              </w:rPr>
              <w:t>Small/</w:t>
            </w:r>
          </w:p>
          <w:p w14:paraId="202BD26C" w14:textId="4405F19E" w:rsidR="00456E90" w:rsidRPr="002F6144" w:rsidRDefault="00456E90" w:rsidP="00456E90">
            <w:pPr>
              <w:rPr>
                <w:rFonts w:eastAsia="Roboto UKEB" w:cs="Arial"/>
                <w:color w:val="auto"/>
                <w:kern w:val="24"/>
                <w:sz w:val="20"/>
                <w:lang w:eastAsia="en-ZA"/>
              </w:rPr>
            </w:pPr>
            <w:r w:rsidRPr="002F6144">
              <w:rPr>
                <w:rFonts w:eastAsia="Roboto UKEB" w:cs="Arial"/>
                <w:color w:val="auto"/>
                <w:kern w:val="24"/>
                <w:sz w:val="20"/>
                <w:lang w:eastAsia="en-ZA"/>
              </w:rPr>
              <w:t>Medium</w:t>
            </w:r>
          </w:p>
        </w:tc>
      </w:tr>
      <w:tr w:rsidR="00456E90" w:rsidRPr="002F6144" w14:paraId="42D553A5" w14:textId="048FC1C9" w:rsidTr="004674F7">
        <w:trPr>
          <w:trHeight w:val="395"/>
        </w:trPr>
        <w:tc>
          <w:tcPr>
            <w:tcW w:w="2467" w:type="dxa"/>
            <w:vMerge/>
          </w:tcPr>
          <w:p w14:paraId="0A39BD39" w14:textId="1C468884" w:rsidR="00456E90" w:rsidRPr="002F6144" w:rsidRDefault="00456E90" w:rsidP="00456E90">
            <w:pPr>
              <w:textAlignment w:val="center"/>
              <w:rPr>
                <w:rFonts w:eastAsia="Roboto UKEB" w:cs="Arial"/>
                <w:color w:val="auto"/>
                <w:kern w:val="24"/>
                <w:sz w:val="20"/>
                <w:lang w:val="en-ZA" w:eastAsia="en-ZA"/>
              </w:rPr>
            </w:pPr>
          </w:p>
        </w:tc>
        <w:tc>
          <w:tcPr>
            <w:tcW w:w="5538" w:type="dxa"/>
          </w:tcPr>
          <w:p w14:paraId="641CE04A" w14:textId="081C24FF"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 xml:space="preserve">Undertake a comprehensive review of IAS 27 </w:t>
            </w:r>
          </w:p>
        </w:tc>
        <w:tc>
          <w:tcPr>
            <w:tcW w:w="1170" w:type="dxa"/>
          </w:tcPr>
          <w:p w14:paraId="1A09E17C" w14:textId="3AC40109"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Large</w:t>
            </w:r>
          </w:p>
        </w:tc>
      </w:tr>
      <w:tr w:rsidR="00456E90" w:rsidRPr="005A3D59" w14:paraId="5B3ADCAA" w14:textId="77777777" w:rsidTr="004674F7">
        <w:trPr>
          <w:trHeight w:val="288"/>
        </w:trPr>
        <w:tc>
          <w:tcPr>
            <w:tcW w:w="2467" w:type="dxa"/>
            <w:shd w:val="clear" w:color="auto" w:fill="F5F5F2" w:themeFill="accent3"/>
          </w:tcPr>
          <w:p w14:paraId="08DD9135"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37184B96"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3A188F36" w14:textId="77777777" w:rsidR="00456E90" w:rsidRPr="005A3D59" w:rsidRDefault="00456E90" w:rsidP="00456E90">
            <w:pPr>
              <w:rPr>
                <w:rFonts w:eastAsia="Roboto UKEB" w:cs="Arial"/>
                <w:color w:val="auto"/>
                <w:kern w:val="24"/>
                <w:sz w:val="20"/>
                <w:lang w:eastAsia="en-ZA"/>
              </w:rPr>
            </w:pPr>
          </w:p>
        </w:tc>
      </w:tr>
      <w:tr w:rsidR="00456E90" w:rsidRPr="005A3D59" w14:paraId="2365FFB5" w14:textId="77777777" w:rsidTr="004674F7">
        <w:trPr>
          <w:trHeight w:val="773"/>
        </w:trPr>
        <w:tc>
          <w:tcPr>
            <w:tcW w:w="2467" w:type="dxa"/>
            <w:vMerge w:val="restart"/>
          </w:tcPr>
          <w:p w14:paraId="127C69E4" w14:textId="20BD5EFD"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sidRPr="002F6144">
              <w:rPr>
                <w:rFonts w:eastAsia="Roboto UKEB" w:cs="Arial"/>
                <w:color w:val="auto"/>
                <w:kern w:val="24"/>
                <w:sz w:val="20"/>
                <w:lang w:eastAsia="en-ZA"/>
              </w:rPr>
              <w:lastRenderedPageBreak/>
              <w:t>Statement of cash flows and related matters</w:t>
            </w:r>
          </w:p>
        </w:tc>
        <w:tc>
          <w:tcPr>
            <w:tcW w:w="5538" w:type="dxa"/>
          </w:tcPr>
          <w:p w14:paraId="36FAAB07" w14:textId="77777777"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Develop more effective disclosures about the ongoing maintenance</w:t>
            </w:r>
          </w:p>
          <w:p w14:paraId="49F71776" w14:textId="497FF3A0" w:rsidR="00456E90" w:rsidRPr="005A3D59" w:rsidRDefault="00456E90" w:rsidP="00456E90">
            <w:pPr>
              <w:textAlignment w:val="center"/>
              <w:rPr>
                <w:rFonts w:eastAsia="Roboto UKEB" w:cs="Arial"/>
                <w:color w:val="auto"/>
                <w:kern w:val="24"/>
                <w:sz w:val="20"/>
                <w:lang w:eastAsia="en-ZA"/>
              </w:rPr>
            </w:pPr>
            <w:r w:rsidRPr="002F6144">
              <w:rPr>
                <w:rFonts w:eastAsia="Roboto UKEB" w:cs="Arial"/>
                <w:color w:val="auto"/>
                <w:kern w:val="24"/>
                <w:sz w:val="20"/>
                <w:lang w:eastAsia="en-ZA"/>
              </w:rPr>
              <w:t xml:space="preserve">expenses and the growth spend </w:t>
            </w:r>
          </w:p>
        </w:tc>
        <w:tc>
          <w:tcPr>
            <w:tcW w:w="1170" w:type="dxa"/>
          </w:tcPr>
          <w:p w14:paraId="274BD639" w14:textId="4CB210EC" w:rsidR="00456E90" w:rsidRPr="005A3D59" w:rsidRDefault="00456E90" w:rsidP="00456E90">
            <w:pPr>
              <w:rPr>
                <w:rFonts w:eastAsia="Roboto UKEB" w:cs="Arial"/>
                <w:color w:val="auto"/>
                <w:kern w:val="24"/>
                <w:sz w:val="20"/>
                <w:lang w:eastAsia="en-ZA"/>
              </w:rPr>
            </w:pPr>
            <w:r w:rsidRPr="002F6144">
              <w:rPr>
                <w:rFonts w:eastAsia="Roboto UKEB" w:cs="Arial"/>
                <w:color w:val="auto"/>
                <w:kern w:val="24"/>
                <w:sz w:val="20"/>
                <w:lang w:eastAsia="en-ZA"/>
              </w:rPr>
              <w:t>Small</w:t>
            </w:r>
          </w:p>
        </w:tc>
      </w:tr>
      <w:tr w:rsidR="00456E90" w:rsidRPr="002F6144" w14:paraId="586356BD" w14:textId="664018BB" w:rsidTr="004674F7">
        <w:trPr>
          <w:trHeight w:val="845"/>
        </w:trPr>
        <w:tc>
          <w:tcPr>
            <w:tcW w:w="2467" w:type="dxa"/>
            <w:vMerge/>
          </w:tcPr>
          <w:p w14:paraId="7394E01F" w14:textId="1D1F2078" w:rsidR="00456E90" w:rsidRPr="002F6144" w:rsidRDefault="00456E90" w:rsidP="00456E90">
            <w:pPr>
              <w:textAlignment w:val="center"/>
              <w:rPr>
                <w:rFonts w:eastAsia="Roboto UKEB" w:cs="Arial"/>
                <w:color w:val="auto"/>
                <w:kern w:val="24"/>
                <w:sz w:val="20"/>
                <w:lang w:val="en-ZA" w:eastAsia="en-ZA"/>
              </w:rPr>
            </w:pPr>
          </w:p>
        </w:tc>
        <w:tc>
          <w:tcPr>
            <w:tcW w:w="5538" w:type="dxa"/>
          </w:tcPr>
          <w:p w14:paraId="0E5BBF42" w14:textId="77777777"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Consider whether to remove the requirement for financial institutions</w:t>
            </w:r>
          </w:p>
          <w:p w14:paraId="31670624" w14:textId="70C4F7E7"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to produce a statement of cash flows</w:t>
            </w:r>
          </w:p>
        </w:tc>
        <w:tc>
          <w:tcPr>
            <w:tcW w:w="1170" w:type="dxa"/>
          </w:tcPr>
          <w:p w14:paraId="4401A675" w14:textId="4F674A35"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Small</w:t>
            </w:r>
          </w:p>
        </w:tc>
      </w:tr>
      <w:tr w:rsidR="00456E90" w:rsidRPr="002F6144" w14:paraId="3B3CA247" w14:textId="4896C5AB" w:rsidTr="004674F7">
        <w:trPr>
          <w:trHeight w:val="818"/>
        </w:trPr>
        <w:tc>
          <w:tcPr>
            <w:tcW w:w="2467" w:type="dxa"/>
            <w:vMerge/>
          </w:tcPr>
          <w:p w14:paraId="7C3920BF" w14:textId="3E7DF1D6" w:rsidR="00456E90" w:rsidRPr="002F6144" w:rsidRDefault="00456E90" w:rsidP="00456E90">
            <w:pPr>
              <w:textAlignment w:val="center"/>
              <w:rPr>
                <w:rFonts w:eastAsia="Roboto UKEB" w:cs="Arial"/>
                <w:color w:val="auto"/>
                <w:kern w:val="24"/>
                <w:sz w:val="20"/>
                <w:lang w:val="en-ZA" w:eastAsia="en-ZA"/>
              </w:rPr>
            </w:pPr>
          </w:p>
        </w:tc>
        <w:tc>
          <w:tcPr>
            <w:tcW w:w="5538" w:type="dxa"/>
          </w:tcPr>
          <w:p w14:paraId="36AA383F" w14:textId="790CD8DA"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Undertake a targeted project to improve aspects of IAS 7, including providing information about non-cash movements</w:t>
            </w:r>
          </w:p>
        </w:tc>
        <w:tc>
          <w:tcPr>
            <w:tcW w:w="1170" w:type="dxa"/>
          </w:tcPr>
          <w:p w14:paraId="5B2A18F8" w14:textId="7CE81F93"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Medium</w:t>
            </w:r>
          </w:p>
        </w:tc>
      </w:tr>
      <w:tr w:rsidR="00456E90" w:rsidRPr="002F6144" w14:paraId="2101D805" w14:textId="70103852" w:rsidTr="004674F7">
        <w:trPr>
          <w:trHeight w:val="611"/>
        </w:trPr>
        <w:tc>
          <w:tcPr>
            <w:tcW w:w="2467" w:type="dxa"/>
            <w:vMerge/>
          </w:tcPr>
          <w:p w14:paraId="202A4C05" w14:textId="7FD2618C" w:rsidR="00456E90" w:rsidRPr="002F6144" w:rsidRDefault="00456E90" w:rsidP="00456E90">
            <w:pPr>
              <w:textAlignment w:val="center"/>
              <w:rPr>
                <w:rFonts w:eastAsia="Roboto UKEB" w:cs="Arial"/>
                <w:color w:val="auto"/>
                <w:kern w:val="24"/>
                <w:sz w:val="20"/>
                <w:lang w:val="en-ZA" w:eastAsia="en-ZA"/>
              </w:rPr>
            </w:pPr>
          </w:p>
        </w:tc>
        <w:tc>
          <w:tcPr>
            <w:tcW w:w="5538" w:type="dxa"/>
          </w:tcPr>
          <w:p w14:paraId="11B32792" w14:textId="6F3E8232"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Seek to develop a statement of cash flows for financial institutions</w:t>
            </w:r>
          </w:p>
        </w:tc>
        <w:tc>
          <w:tcPr>
            <w:tcW w:w="1170" w:type="dxa"/>
          </w:tcPr>
          <w:p w14:paraId="394D8D9D" w14:textId="4C15A0EA"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Medium</w:t>
            </w:r>
          </w:p>
        </w:tc>
      </w:tr>
      <w:tr w:rsidR="00456E90" w:rsidRPr="002F6144" w14:paraId="191B8B7C" w14:textId="74CB0872" w:rsidTr="004674F7">
        <w:trPr>
          <w:trHeight w:val="566"/>
        </w:trPr>
        <w:tc>
          <w:tcPr>
            <w:tcW w:w="2467" w:type="dxa"/>
            <w:vMerge/>
          </w:tcPr>
          <w:p w14:paraId="5EC8F255" w14:textId="0F0CF42C" w:rsidR="00456E90" w:rsidRPr="002F6144" w:rsidRDefault="00456E90" w:rsidP="00456E90">
            <w:pPr>
              <w:textAlignment w:val="center"/>
              <w:rPr>
                <w:rFonts w:eastAsia="Roboto UKEB" w:cs="Arial"/>
                <w:color w:val="auto"/>
                <w:kern w:val="24"/>
                <w:sz w:val="20"/>
                <w:lang w:val="en-ZA" w:eastAsia="en-ZA"/>
              </w:rPr>
            </w:pPr>
          </w:p>
        </w:tc>
        <w:tc>
          <w:tcPr>
            <w:tcW w:w="5538" w:type="dxa"/>
          </w:tcPr>
          <w:p w14:paraId="5E05A1C3" w14:textId="7C5C09E6" w:rsidR="00456E90" w:rsidRPr="002F6144" w:rsidRDefault="00456E90" w:rsidP="00456E90">
            <w:pPr>
              <w:textAlignment w:val="center"/>
              <w:rPr>
                <w:rFonts w:eastAsia="Roboto UKEB" w:cs="Arial"/>
                <w:color w:val="auto"/>
                <w:kern w:val="24"/>
                <w:sz w:val="20"/>
                <w:lang w:val="en-ZA" w:eastAsia="en-ZA"/>
              </w:rPr>
            </w:pPr>
            <w:r w:rsidRPr="002F6144">
              <w:rPr>
                <w:rFonts w:eastAsia="Roboto UKEB" w:cs="Arial"/>
                <w:color w:val="auto"/>
                <w:kern w:val="24"/>
                <w:sz w:val="20"/>
                <w:lang w:eastAsia="en-ZA"/>
              </w:rPr>
              <w:t>Undertake a comprehensive review of IAS 7 with the intention of replacing it with a new IFRS Standard</w:t>
            </w:r>
          </w:p>
        </w:tc>
        <w:tc>
          <w:tcPr>
            <w:tcW w:w="1170" w:type="dxa"/>
          </w:tcPr>
          <w:p w14:paraId="2C0FFCA5" w14:textId="71F4B317" w:rsidR="00456E90" w:rsidRPr="002F6144" w:rsidRDefault="00456E90" w:rsidP="00456E90">
            <w:pPr>
              <w:rPr>
                <w:rFonts w:eastAsia="Roboto UKEB" w:cs="Arial"/>
                <w:color w:val="auto"/>
                <w:kern w:val="24"/>
                <w:sz w:val="20"/>
                <w:lang w:val="en-ZA" w:eastAsia="en-ZA"/>
              </w:rPr>
            </w:pPr>
            <w:r w:rsidRPr="002F6144">
              <w:rPr>
                <w:rFonts w:eastAsia="Roboto UKEB" w:cs="Arial"/>
                <w:color w:val="auto"/>
                <w:kern w:val="24"/>
                <w:sz w:val="20"/>
                <w:lang w:eastAsia="en-ZA"/>
              </w:rPr>
              <w:t>Large</w:t>
            </w:r>
          </w:p>
        </w:tc>
      </w:tr>
      <w:tr w:rsidR="00456E90" w:rsidRPr="005A3D59" w14:paraId="20811DA6" w14:textId="77777777" w:rsidTr="004674F7">
        <w:trPr>
          <w:trHeight w:val="288"/>
        </w:trPr>
        <w:tc>
          <w:tcPr>
            <w:tcW w:w="2467" w:type="dxa"/>
            <w:shd w:val="clear" w:color="auto" w:fill="F5F5F2" w:themeFill="accent3"/>
          </w:tcPr>
          <w:p w14:paraId="4BF5A469"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29B1391F"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0EE92019" w14:textId="77777777" w:rsidR="00456E90" w:rsidRPr="005A3D59" w:rsidRDefault="00456E90" w:rsidP="00456E90">
            <w:pPr>
              <w:rPr>
                <w:rFonts w:eastAsia="Roboto UKEB" w:cs="Arial"/>
                <w:color w:val="auto"/>
                <w:kern w:val="24"/>
                <w:sz w:val="20"/>
                <w:lang w:eastAsia="en-ZA"/>
              </w:rPr>
            </w:pPr>
          </w:p>
        </w:tc>
      </w:tr>
      <w:tr w:rsidR="00456E90" w:rsidRPr="005A3D59" w14:paraId="6CD68C7F" w14:textId="77777777" w:rsidTr="004674F7">
        <w:trPr>
          <w:trHeight w:val="1223"/>
        </w:trPr>
        <w:tc>
          <w:tcPr>
            <w:tcW w:w="2467" w:type="dxa"/>
            <w:vMerge w:val="restart"/>
          </w:tcPr>
          <w:p w14:paraId="6E88810E" w14:textId="29E13E4B" w:rsidR="00456E90" w:rsidRPr="002F6144" w:rsidRDefault="00456E90" w:rsidP="00456E90">
            <w:pPr>
              <w:pStyle w:val="ListParagraph"/>
              <w:numPr>
                <w:ilvl w:val="0"/>
                <w:numId w:val="9"/>
              </w:numPr>
              <w:textAlignment w:val="center"/>
              <w:rPr>
                <w:rFonts w:eastAsia="Roboto UKEB" w:cs="Arial"/>
                <w:color w:val="auto"/>
                <w:kern w:val="24"/>
                <w:sz w:val="20"/>
                <w:lang w:eastAsia="en-ZA"/>
              </w:rPr>
            </w:pPr>
            <w:r>
              <w:rPr>
                <w:rFonts w:eastAsia="Roboto UKEB" w:cs="Arial"/>
                <w:color w:val="auto"/>
                <w:kern w:val="24"/>
                <w:sz w:val="20"/>
                <w:lang w:eastAsia="en-ZA"/>
              </w:rPr>
              <w:t>Variable and contingent consideration</w:t>
            </w:r>
          </w:p>
        </w:tc>
        <w:tc>
          <w:tcPr>
            <w:tcW w:w="5538" w:type="dxa"/>
          </w:tcPr>
          <w:p w14:paraId="05CBD58C" w14:textId="0545B1DA" w:rsidR="00456E90" w:rsidRPr="005A3D59" w:rsidRDefault="00456E90" w:rsidP="00456E90">
            <w:pPr>
              <w:textAlignment w:val="center"/>
              <w:rPr>
                <w:rFonts w:eastAsia="Roboto UKEB" w:cs="Arial"/>
                <w:color w:val="auto"/>
                <w:kern w:val="24"/>
                <w:sz w:val="20"/>
                <w:lang w:eastAsia="en-ZA"/>
              </w:rPr>
            </w:pPr>
            <w:r w:rsidRPr="002F6144">
              <w:rPr>
                <w:rFonts w:eastAsia="Roboto UKEB" w:cs="Arial"/>
                <w:color w:val="auto"/>
                <w:kern w:val="24"/>
                <w:sz w:val="20"/>
                <w:lang w:eastAsia="en-ZA"/>
              </w:rPr>
              <w:t xml:space="preserve">Consider whether IAS 16, IAS 38 and IFRIC 12 Service Concession Arrangements should be amended. These Standards have limited requirements on accounting for transactions that frequently involve variable or contingent consideration </w:t>
            </w:r>
          </w:p>
        </w:tc>
        <w:tc>
          <w:tcPr>
            <w:tcW w:w="1170" w:type="dxa"/>
          </w:tcPr>
          <w:p w14:paraId="77CC1F38" w14:textId="126535E0"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Medium</w:t>
            </w:r>
          </w:p>
        </w:tc>
      </w:tr>
      <w:tr w:rsidR="00456E90" w:rsidRPr="005A3D59" w14:paraId="4A5B6B0E" w14:textId="77777777" w:rsidTr="004674F7">
        <w:trPr>
          <w:trHeight w:val="521"/>
        </w:trPr>
        <w:tc>
          <w:tcPr>
            <w:tcW w:w="2467" w:type="dxa"/>
            <w:vMerge/>
          </w:tcPr>
          <w:p w14:paraId="4C8EA1F5" w14:textId="77777777" w:rsidR="00456E90" w:rsidRPr="005A3D59" w:rsidRDefault="00456E90" w:rsidP="00456E90">
            <w:pPr>
              <w:textAlignment w:val="center"/>
              <w:rPr>
                <w:rFonts w:eastAsia="Roboto UKEB" w:cs="Arial"/>
                <w:color w:val="auto"/>
                <w:kern w:val="24"/>
                <w:sz w:val="20"/>
                <w:lang w:eastAsia="en-ZA"/>
              </w:rPr>
            </w:pPr>
          </w:p>
        </w:tc>
        <w:tc>
          <w:tcPr>
            <w:tcW w:w="5538" w:type="dxa"/>
          </w:tcPr>
          <w:p w14:paraId="16E7FF9A" w14:textId="5EB2835E" w:rsidR="00456E90" w:rsidRPr="005A3D59" w:rsidRDefault="00456E90" w:rsidP="00456E90">
            <w:pPr>
              <w:textAlignment w:val="center"/>
              <w:rPr>
                <w:rFonts w:eastAsia="Roboto UKEB" w:cs="Arial"/>
                <w:color w:val="auto"/>
                <w:kern w:val="24"/>
                <w:sz w:val="20"/>
                <w:lang w:eastAsia="en-ZA"/>
              </w:rPr>
            </w:pPr>
            <w:r w:rsidRPr="002F6144">
              <w:rPr>
                <w:rFonts w:eastAsia="Roboto UKEB" w:cs="Arial"/>
                <w:color w:val="auto"/>
                <w:kern w:val="24"/>
                <w:sz w:val="20"/>
                <w:lang w:eastAsia="en-ZA"/>
              </w:rPr>
              <w:t xml:space="preserve">Develop a consistent approach to reporting variable and contingent consideration for all IFRS Standards </w:t>
            </w:r>
          </w:p>
        </w:tc>
        <w:tc>
          <w:tcPr>
            <w:tcW w:w="1170" w:type="dxa"/>
          </w:tcPr>
          <w:p w14:paraId="5D4565B3" w14:textId="584CA3CB" w:rsidR="00456E90" w:rsidRPr="005A3D59" w:rsidRDefault="00456E90" w:rsidP="00456E90">
            <w:pPr>
              <w:rPr>
                <w:rFonts w:eastAsia="Roboto UKEB" w:cs="Arial"/>
                <w:color w:val="auto"/>
                <w:kern w:val="24"/>
                <w:sz w:val="20"/>
                <w:lang w:eastAsia="en-ZA"/>
              </w:rPr>
            </w:pPr>
            <w:r>
              <w:rPr>
                <w:rFonts w:eastAsia="Roboto UKEB" w:cs="Arial"/>
                <w:color w:val="auto"/>
                <w:kern w:val="24"/>
                <w:sz w:val="20"/>
                <w:lang w:eastAsia="en-ZA"/>
              </w:rPr>
              <w:t xml:space="preserve">Large </w:t>
            </w:r>
          </w:p>
        </w:tc>
      </w:tr>
      <w:tr w:rsidR="00456E90" w:rsidRPr="005A3D59" w14:paraId="3F64C1E9" w14:textId="77777777" w:rsidTr="004674F7">
        <w:trPr>
          <w:trHeight w:val="288"/>
        </w:trPr>
        <w:tc>
          <w:tcPr>
            <w:tcW w:w="2467" w:type="dxa"/>
            <w:shd w:val="clear" w:color="auto" w:fill="F5F5F2" w:themeFill="accent3"/>
          </w:tcPr>
          <w:p w14:paraId="2771B4C2" w14:textId="77777777" w:rsidR="00456E90" w:rsidRPr="005A3D59" w:rsidRDefault="00456E90" w:rsidP="00456E90">
            <w:pPr>
              <w:textAlignment w:val="center"/>
              <w:rPr>
                <w:rFonts w:eastAsia="Roboto UKEB" w:cs="Arial"/>
                <w:color w:val="auto"/>
                <w:kern w:val="24"/>
                <w:sz w:val="20"/>
                <w:lang w:eastAsia="en-ZA"/>
              </w:rPr>
            </w:pPr>
          </w:p>
        </w:tc>
        <w:tc>
          <w:tcPr>
            <w:tcW w:w="5538" w:type="dxa"/>
            <w:shd w:val="clear" w:color="auto" w:fill="F5F5F2" w:themeFill="accent3"/>
          </w:tcPr>
          <w:p w14:paraId="50305004" w14:textId="77777777" w:rsidR="00456E90" w:rsidRPr="005A3D59" w:rsidRDefault="00456E90" w:rsidP="00456E90">
            <w:pPr>
              <w:textAlignment w:val="center"/>
              <w:rPr>
                <w:rFonts w:eastAsia="Roboto UKEB" w:cs="Arial"/>
                <w:color w:val="auto"/>
                <w:kern w:val="24"/>
                <w:sz w:val="20"/>
                <w:lang w:eastAsia="en-ZA"/>
              </w:rPr>
            </w:pPr>
          </w:p>
        </w:tc>
        <w:tc>
          <w:tcPr>
            <w:tcW w:w="1170" w:type="dxa"/>
            <w:shd w:val="clear" w:color="auto" w:fill="F5F5F2" w:themeFill="accent3"/>
          </w:tcPr>
          <w:p w14:paraId="687A859D" w14:textId="77777777" w:rsidR="00456E90" w:rsidRPr="005A3D59" w:rsidRDefault="00456E90" w:rsidP="00456E90">
            <w:pPr>
              <w:rPr>
                <w:rFonts w:eastAsia="Roboto UKEB" w:cs="Arial"/>
                <w:color w:val="auto"/>
                <w:kern w:val="24"/>
                <w:sz w:val="20"/>
                <w:lang w:eastAsia="en-ZA"/>
              </w:rPr>
            </w:pPr>
          </w:p>
        </w:tc>
      </w:tr>
    </w:tbl>
    <w:p w14:paraId="1C297777" w14:textId="77777777" w:rsidR="00FA136B" w:rsidRPr="00FA136B" w:rsidRDefault="00FA136B" w:rsidP="005A3D59">
      <w:pPr>
        <w:rPr>
          <w:rFonts w:cs="Arial"/>
          <w:sz w:val="20"/>
          <w:lang w:val="en-GB"/>
        </w:rPr>
      </w:pPr>
    </w:p>
    <w:p w14:paraId="382F1964" w14:textId="3A13389A" w:rsidR="005A3D59" w:rsidRPr="005A3D59" w:rsidRDefault="005A3D59" w:rsidP="005A3D59">
      <w:pPr>
        <w:rPr>
          <w:rFonts w:cs="Arial"/>
          <w:sz w:val="20"/>
          <w:lang w:val="en-GB"/>
        </w:rPr>
      </w:pPr>
    </w:p>
    <w:sectPr w:rsidR="005A3D59" w:rsidRPr="005A3D59" w:rsidSect="00987888">
      <w:headerReference w:type="default" r:id="rId12"/>
      <w:footerReference w:type="default" r:id="rId13"/>
      <w:pgSz w:w="11906" w:h="16838"/>
      <w:pgMar w:top="180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C38C3" w14:textId="77777777" w:rsidR="00031800" w:rsidRDefault="00031800" w:rsidP="003858E3">
      <w:r>
        <w:separator/>
      </w:r>
    </w:p>
  </w:endnote>
  <w:endnote w:type="continuationSeparator" w:id="0">
    <w:p w14:paraId="2194B489" w14:textId="77777777" w:rsidR="00031800" w:rsidRDefault="00031800" w:rsidP="003858E3">
      <w:r>
        <w:continuationSeparator/>
      </w:r>
    </w:p>
  </w:endnote>
  <w:endnote w:type="continuationNotice" w:id="1">
    <w:p w14:paraId="5CCB894B" w14:textId="77777777" w:rsidR="00031800" w:rsidRDefault="0003180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UKEB">
    <w:altName w:val="Arial"/>
    <w:charset w:val="00"/>
    <w:family w:val="auto"/>
    <w:pitch w:val="variable"/>
    <w:sig w:usb0="E00002FF" w:usb1="5000205B" w:usb2="00000020" w:usb3="00000000" w:csb0="0000019F" w:csb1="00000000"/>
  </w:font>
  <w:font w:name="Segoe UI">
    <w:panose1 w:val="020B0502040204020203"/>
    <w:charset w:val="00"/>
    <w:family w:val="swiss"/>
    <w:pitch w:val="variable"/>
    <w:sig w:usb0="E4002EFF" w:usb1="C000E47F" w:usb2="00000009" w:usb3="00000000" w:csb0="000001FF" w:csb1="00000000"/>
  </w:font>
  <w:font w:name="Addington CF Thin">
    <w:altName w:val="Calibri"/>
    <w:panose1 w:val="00000000000000000000"/>
    <w:charset w:val="00"/>
    <w:family w:val="modern"/>
    <w:notTrueType/>
    <w:pitch w:val="variable"/>
    <w:sig w:usb0="00000007" w:usb1="00000000" w:usb2="00000000" w:usb3="00000000" w:csb0="00000093" w:csb1="00000000"/>
  </w:font>
  <w:font w:name="Addington CF">
    <w:altName w:val="Calibri"/>
    <w:panose1 w:val="00000000000000000000"/>
    <w:charset w:val="00"/>
    <w:family w:val="modern"/>
    <w:notTrueType/>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78CB6" w14:textId="77777777" w:rsidR="00540F6B" w:rsidRPr="00D45616" w:rsidRDefault="00540F6B" w:rsidP="00156BF2">
    <w:pPr>
      <w:spacing w:before="120"/>
      <w:rPr>
        <w:b/>
        <w:bCs/>
        <w:color w:val="244548"/>
        <w:sz w:val="18"/>
        <w:szCs w:val="18"/>
      </w:rPr>
    </w:pPr>
  </w:p>
  <w:p w14:paraId="499DDEF5" w14:textId="77777777" w:rsidR="00540F6B" w:rsidRPr="00D45616" w:rsidRDefault="00540F6B" w:rsidP="00156BF2">
    <w:pPr>
      <w:rPr>
        <w:b/>
        <w:bCs/>
        <w:color w:val="244548"/>
        <w:sz w:val="18"/>
        <w:szCs w:val="18"/>
      </w:rPr>
    </w:pPr>
    <w:r w:rsidRPr="00D45616">
      <w:rPr>
        <w:noProof/>
      </w:rPr>
      <mc:AlternateContent>
        <mc:Choice Requires="wps">
          <w:drawing>
            <wp:anchor distT="0" distB="0" distL="114300" distR="114300" simplePos="0" relativeHeight="251662336" behindDoc="0" locked="0" layoutInCell="1" allowOverlap="1" wp14:anchorId="563C2D8D" wp14:editId="5DAC50EA">
              <wp:simplePos x="0" y="0"/>
              <wp:positionH relativeFrom="column">
                <wp:posOffset>0</wp:posOffset>
              </wp:positionH>
              <wp:positionV relativeFrom="paragraph">
                <wp:posOffset>0</wp:posOffset>
              </wp:positionV>
              <wp:extent cx="5970905" cy="0"/>
              <wp:effectExtent l="0" t="0" r="0" b="0"/>
              <wp:wrapNone/>
              <wp:docPr id="9" name="Straight Connector 9"/>
              <wp:cNvGraphicFramePr/>
              <a:graphic xmlns:a="http://schemas.openxmlformats.org/drawingml/2006/main">
                <a:graphicData uri="http://schemas.microsoft.com/office/word/2010/wordprocessingShape">
                  <wps:wsp>
                    <wps:cNvCnPr/>
                    <wps:spPr>
                      <a:xfrm>
                        <a:off x="0" y="0"/>
                        <a:ext cx="5970905" cy="0"/>
                      </a:xfrm>
                      <a:prstGeom prst="line">
                        <a:avLst/>
                      </a:prstGeom>
                      <a:ln w="12700">
                        <a:solidFill>
                          <a:srgbClr val="54CFB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C6DEC7D" id="Straight Connector 9"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 to="470.1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" strokecolor="#54cfbf" strokeweight="1pt"/>
          </w:pict>
        </mc:Fallback>
      </mc:AlternateContent>
    </w:r>
  </w:p>
  <w:p w14:paraId="01E23CDF" w14:textId="7E71A405" w:rsidR="00540F6B" w:rsidRPr="00156BF2" w:rsidRDefault="00CA5D69" w:rsidP="00156BF2">
    <w:pPr>
      <w:pStyle w:val="Footer"/>
      <w:jc w:val="right"/>
    </w:pPr>
    <w:sdt>
      <w:sdtPr>
        <w:rPr>
          <w:sz w:val="18"/>
          <w:szCs w:val="18"/>
        </w:rPr>
        <w:id w:val="-1496174655"/>
        <w:docPartObj>
          <w:docPartGallery w:val="Page Numbers (Top of Page)"/>
          <w:docPartUnique/>
        </w:docPartObj>
      </w:sdtPr>
      <w:sdtEndPr/>
      <w:sdtContent>
        <w:r w:rsidR="00540F6B" w:rsidRPr="00D45616">
          <w:rPr>
            <w:sz w:val="18"/>
            <w:szCs w:val="18"/>
          </w:rPr>
          <w:t xml:space="preserve">Page </w:t>
        </w:r>
        <w:r w:rsidR="00540F6B" w:rsidRPr="00D45616">
          <w:rPr>
            <w:b/>
            <w:bCs/>
            <w:sz w:val="18"/>
            <w:szCs w:val="18"/>
          </w:rPr>
          <w:fldChar w:fldCharType="begin"/>
        </w:r>
        <w:r w:rsidR="00540F6B" w:rsidRPr="00D45616">
          <w:rPr>
            <w:sz w:val="18"/>
            <w:szCs w:val="18"/>
          </w:rPr>
          <w:instrText xml:space="preserve"> PAGE </w:instrText>
        </w:r>
        <w:r w:rsidR="00540F6B" w:rsidRPr="00D45616">
          <w:rPr>
            <w:b/>
            <w:bCs/>
            <w:sz w:val="18"/>
            <w:szCs w:val="18"/>
          </w:rPr>
          <w:fldChar w:fldCharType="separate"/>
        </w:r>
        <w:r w:rsidR="00540F6B">
          <w:rPr>
            <w:b/>
            <w:bCs/>
            <w:sz w:val="18"/>
            <w:szCs w:val="18"/>
          </w:rPr>
          <w:t>2</w:t>
        </w:r>
        <w:r w:rsidR="00540F6B" w:rsidRPr="00D45616">
          <w:rPr>
            <w:b/>
            <w:bCs/>
            <w:sz w:val="18"/>
            <w:szCs w:val="18"/>
          </w:rPr>
          <w:fldChar w:fldCharType="end"/>
        </w:r>
        <w:r w:rsidR="00540F6B" w:rsidRPr="00D45616">
          <w:rPr>
            <w:sz w:val="18"/>
            <w:szCs w:val="18"/>
          </w:rPr>
          <w:t xml:space="preserve"> of </w:t>
        </w:r>
        <w:r w:rsidR="00540F6B" w:rsidRPr="00D45616">
          <w:rPr>
            <w:b/>
            <w:bCs/>
            <w:sz w:val="18"/>
            <w:szCs w:val="18"/>
          </w:rPr>
          <w:fldChar w:fldCharType="begin"/>
        </w:r>
        <w:r w:rsidR="00540F6B" w:rsidRPr="00D45616">
          <w:rPr>
            <w:sz w:val="18"/>
            <w:szCs w:val="18"/>
          </w:rPr>
          <w:instrText xml:space="preserve"> NUMPAGES  </w:instrText>
        </w:r>
        <w:r w:rsidR="00540F6B" w:rsidRPr="00D45616">
          <w:rPr>
            <w:b/>
            <w:bCs/>
            <w:sz w:val="18"/>
            <w:szCs w:val="18"/>
          </w:rPr>
          <w:fldChar w:fldCharType="separate"/>
        </w:r>
        <w:r w:rsidR="00540F6B">
          <w:rPr>
            <w:b/>
            <w:bCs/>
            <w:sz w:val="18"/>
            <w:szCs w:val="18"/>
          </w:rPr>
          <w:t>9</w:t>
        </w:r>
        <w:r w:rsidR="00540F6B" w:rsidRPr="00D45616">
          <w:rPr>
            <w:b/>
            <w:bCs/>
            <w:sz w:val="18"/>
            <w:szCs w:val="18"/>
          </w:rPr>
          <w:fldChar w:fldCharType="end"/>
        </w:r>
      </w:sdtContent>
    </w:sdt>
    <w:r w:rsidR="00540F6B" w:rsidRPr="00D45616">
      <w:rPr>
        <w:sz w:val="18"/>
        <w:szCs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693F0" w14:textId="77777777" w:rsidR="00031800" w:rsidRDefault="00031800" w:rsidP="003858E3">
      <w:r>
        <w:separator/>
      </w:r>
    </w:p>
  </w:footnote>
  <w:footnote w:type="continuationSeparator" w:id="0">
    <w:p w14:paraId="379DC66C" w14:textId="77777777" w:rsidR="00031800" w:rsidRDefault="00031800" w:rsidP="003858E3">
      <w:r>
        <w:continuationSeparator/>
      </w:r>
    </w:p>
  </w:footnote>
  <w:footnote w:type="continuationNotice" w:id="1">
    <w:p w14:paraId="225418D9" w14:textId="77777777" w:rsidR="00031800" w:rsidRDefault="0003180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30AA1" w14:textId="77777777" w:rsidR="00540F6B" w:rsidRDefault="00540F6B" w:rsidP="00156BF2">
    <w:pPr>
      <w:pStyle w:val="Header"/>
      <w:ind w:left="-142"/>
      <w:rPr>
        <w:noProof/>
      </w:rPr>
    </w:pPr>
    <w:r>
      <w:rPr>
        <w:noProof/>
      </w:rPr>
      <w:drawing>
        <wp:inline distT="0" distB="0" distL="0" distR="0" wp14:anchorId="5067738A" wp14:editId="2BC86048">
          <wp:extent cx="2121647" cy="486683"/>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2121647" cy="486683"/>
                  </a:xfrm>
                  <a:prstGeom prst="rect">
                    <a:avLst/>
                  </a:prstGeom>
                </pic:spPr>
              </pic:pic>
            </a:graphicData>
          </a:graphic>
        </wp:inline>
      </w:drawing>
    </w:r>
  </w:p>
  <w:p w14:paraId="156CD7D5" w14:textId="17A382BB" w:rsidR="00540F6B" w:rsidRDefault="00540F6B">
    <w:pPr>
      <w:pStyle w:val="Header"/>
    </w:pPr>
    <w:r>
      <w:rPr>
        <w:noProof/>
      </w:rPr>
      <mc:AlternateContent>
        <mc:Choice Requires="wps">
          <w:drawing>
            <wp:anchor distT="0" distB="0" distL="114300" distR="114300" simplePos="0" relativeHeight="251660288" behindDoc="0" locked="0" layoutInCell="1" allowOverlap="1" wp14:anchorId="41227A41" wp14:editId="62B8F01E">
              <wp:simplePos x="0" y="0"/>
              <wp:positionH relativeFrom="column">
                <wp:posOffset>-1</wp:posOffset>
              </wp:positionH>
              <wp:positionV relativeFrom="paragraph">
                <wp:posOffset>136829</wp:posOffset>
              </wp:positionV>
              <wp:extent cx="5970905"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5970905" cy="0"/>
                      </a:xfrm>
                      <a:prstGeom prst="line">
                        <a:avLst/>
                      </a:prstGeom>
                      <a:ln w="12700">
                        <a:solidFill>
                          <a:srgbClr val="54CFBF"/>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9E4928A" id="Straight Connector 1"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0.75pt" to="470.15pt,1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" strokecolor="#54cfb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45F8C"/>
    <w:multiLevelType w:val="hybridMultilevel"/>
    <w:tmpl w:val="6BBA537A"/>
    <w:lvl w:ilvl="0" w:tplc="E116CA84">
      <w:start w:val="1"/>
      <w:numFmt w:val="bullet"/>
      <w:lvlText w:val="•"/>
      <w:lvlJc w:val="left"/>
      <w:pPr>
        <w:tabs>
          <w:tab w:val="num" w:pos="720"/>
        </w:tabs>
        <w:ind w:left="720" w:hanging="360"/>
      </w:pPr>
      <w:rPr>
        <w:rFonts w:ascii="Arial" w:hAnsi="Arial" w:hint="default"/>
      </w:rPr>
    </w:lvl>
    <w:lvl w:ilvl="1" w:tplc="BA341728" w:tentative="1">
      <w:start w:val="1"/>
      <w:numFmt w:val="bullet"/>
      <w:lvlText w:val="•"/>
      <w:lvlJc w:val="left"/>
      <w:pPr>
        <w:tabs>
          <w:tab w:val="num" w:pos="1440"/>
        </w:tabs>
        <w:ind w:left="1440" w:hanging="360"/>
      </w:pPr>
      <w:rPr>
        <w:rFonts w:ascii="Arial" w:hAnsi="Arial" w:hint="default"/>
      </w:rPr>
    </w:lvl>
    <w:lvl w:ilvl="2" w:tplc="99969A10" w:tentative="1">
      <w:start w:val="1"/>
      <w:numFmt w:val="bullet"/>
      <w:lvlText w:val="•"/>
      <w:lvlJc w:val="left"/>
      <w:pPr>
        <w:tabs>
          <w:tab w:val="num" w:pos="2160"/>
        </w:tabs>
        <w:ind w:left="2160" w:hanging="360"/>
      </w:pPr>
      <w:rPr>
        <w:rFonts w:ascii="Arial" w:hAnsi="Arial" w:hint="default"/>
      </w:rPr>
    </w:lvl>
    <w:lvl w:ilvl="3" w:tplc="F13AC422" w:tentative="1">
      <w:start w:val="1"/>
      <w:numFmt w:val="bullet"/>
      <w:lvlText w:val="•"/>
      <w:lvlJc w:val="left"/>
      <w:pPr>
        <w:tabs>
          <w:tab w:val="num" w:pos="2880"/>
        </w:tabs>
        <w:ind w:left="2880" w:hanging="360"/>
      </w:pPr>
      <w:rPr>
        <w:rFonts w:ascii="Arial" w:hAnsi="Arial" w:hint="default"/>
      </w:rPr>
    </w:lvl>
    <w:lvl w:ilvl="4" w:tplc="DF64C234" w:tentative="1">
      <w:start w:val="1"/>
      <w:numFmt w:val="bullet"/>
      <w:lvlText w:val="•"/>
      <w:lvlJc w:val="left"/>
      <w:pPr>
        <w:tabs>
          <w:tab w:val="num" w:pos="3600"/>
        </w:tabs>
        <w:ind w:left="3600" w:hanging="360"/>
      </w:pPr>
      <w:rPr>
        <w:rFonts w:ascii="Arial" w:hAnsi="Arial" w:hint="default"/>
      </w:rPr>
    </w:lvl>
    <w:lvl w:ilvl="5" w:tplc="C826CCC0" w:tentative="1">
      <w:start w:val="1"/>
      <w:numFmt w:val="bullet"/>
      <w:lvlText w:val="•"/>
      <w:lvlJc w:val="left"/>
      <w:pPr>
        <w:tabs>
          <w:tab w:val="num" w:pos="4320"/>
        </w:tabs>
        <w:ind w:left="4320" w:hanging="360"/>
      </w:pPr>
      <w:rPr>
        <w:rFonts w:ascii="Arial" w:hAnsi="Arial" w:hint="default"/>
      </w:rPr>
    </w:lvl>
    <w:lvl w:ilvl="6" w:tplc="5652202A" w:tentative="1">
      <w:start w:val="1"/>
      <w:numFmt w:val="bullet"/>
      <w:lvlText w:val="•"/>
      <w:lvlJc w:val="left"/>
      <w:pPr>
        <w:tabs>
          <w:tab w:val="num" w:pos="5040"/>
        </w:tabs>
        <w:ind w:left="5040" w:hanging="360"/>
      </w:pPr>
      <w:rPr>
        <w:rFonts w:ascii="Arial" w:hAnsi="Arial" w:hint="default"/>
      </w:rPr>
    </w:lvl>
    <w:lvl w:ilvl="7" w:tplc="4EE41092" w:tentative="1">
      <w:start w:val="1"/>
      <w:numFmt w:val="bullet"/>
      <w:lvlText w:val="•"/>
      <w:lvlJc w:val="left"/>
      <w:pPr>
        <w:tabs>
          <w:tab w:val="num" w:pos="5760"/>
        </w:tabs>
        <w:ind w:left="5760" w:hanging="360"/>
      </w:pPr>
      <w:rPr>
        <w:rFonts w:ascii="Arial" w:hAnsi="Arial" w:hint="default"/>
      </w:rPr>
    </w:lvl>
    <w:lvl w:ilvl="8" w:tplc="0D2A525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8E32719"/>
    <w:multiLevelType w:val="hybridMultilevel"/>
    <w:tmpl w:val="5C9A1CBA"/>
    <w:lvl w:ilvl="0" w:tplc="87BCCF9C">
      <w:start w:val="1"/>
      <w:numFmt w:val="bullet"/>
      <w:lvlText w:val="•"/>
      <w:lvlJc w:val="left"/>
      <w:pPr>
        <w:tabs>
          <w:tab w:val="num" w:pos="720"/>
        </w:tabs>
        <w:ind w:left="720" w:hanging="360"/>
      </w:pPr>
      <w:rPr>
        <w:rFonts w:ascii="Arial" w:hAnsi="Arial" w:hint="default"/>
      </w:rPr>
    </w:lvl>
    <w:lvl w:ilvl="1" w:tplc="2DB26BF0" w:tentative="1">
      <w:start w:val="1"/>
      <w:numFmt w:val="bullet"/>
      <w:lvlText w:val="•"/>
      <w:lvlJc w:val="left"/>
      <w:pPr>
        <w:tabs>
          <w:tab w:val="num" w:pos="1440"/>
        </w:tabs>
        <w:ind w:left="1440" w:hanging="360"/>
      </w:pPr>
      <w:rPr>
        <w:rFonts w:ascii="Arial" w:hAnsi="Arial" w:hint="default"/>
      </w:rPr>
    </w:lvl>
    <w:lvl w:ilvl="2" w:tplc="2CD2EEF6" w:tentative="1">
      <w:start w:val="1"/>
      <w:numFmt w:val="bullet"/>
      <w:lvlText w:val="•"/>
      <w:lvlJc w:val="left"/>
      <w:pPr>
        <w:tabs>
          <w:tab w:val="num" w:pos="2160"/>
        </w:tabs>
        <w:ind w:left="2160" w:hanging="360"/>
      </w:pPr>
      <w:rPr>
        <w:rFonts w:ascii="Arial" w:hAnsi="Arial" w:hint="default"/>
      </w:rPr>
    </w:lvl>
    <w:lvl w:ilvl="3" w:tplc="E1BEF772" w:tentative="1">
      <w:start w:val="1"/>
      <w:numFmt w:val="bullet"/>
      <w:lvlText w:val="•"/>
      <w:lvlJc w:val="left"/>
      <w:pPr>
        <w:tabs>
          <w:tab w:val="num" w:pos="2880"/>
        </w:tabs>
        <w:ind w:left="2880" w:hanging="360"/>
      </w:pPr>
      <w:rPr>
        <w:rFonts w:ascii="Arial" w:hAnsi="Arial" w:hint="default"/>
      </w:rPr>
    </w:lvl>
    <w:lvl w:ilvl="4" w:tplc="6CC068DC" w:tentative="1">
      <w:start w:val="1"/>
      <w:numFmt w:val="bullet"/>
      <w:lvlText w:val="•"/>
      <w:lvlJc w:val="left"/>
      <w:pPr>
        <w:tabs>
          <w:tab w:val="num" w:pos="3600"/>
        </w:tabs>
        <w:ind w:left="3600" w:hanging="360"/>
      </w:pPr>
      <w:rPr>
        <w:rFonts w:ascii="Arial" w:hAnsi="Arial" w:hint="default"/>
      </w:rPr>
    </w:lvl>
    <w:lvl w:ilvl="5" w:tplc="26D04A42" w:tentative="1">
      <w:start w:val="1"/>
      <w:numFmt w:val="bullet"/>
      <w:lvlText w:val="•"/>
      <w:lvlJc w:val="left"/>
      <w:pPr>
        <w:tabs>
          <w:tab w:val="num" w:pos="4320"/>
        </w:tabs>
        <w:ind w:left="4320" w:hanging="360"/>
      </w:pPr>
      <w:rPr>
        <w:rFonts w:ascii="Arial" w:hAnsi="Arial" w:hint="default"/>
      </w:rPr>
    </w:lvl>
    <w:lvl w:ilvl="6" w:tplc="395CE9EE" w:tentative="1">
      <w:start w:val="1"/>
      <w:numFmt w:val="bullet"/>
      <w:lvlText w:val="•"/>
      <w:lvlJc w:val="left"/>
      <w:pPr>
        <w:tabs>
          <w:tab w:val="num" w:pos="5040"/>
        </w:tabs>
        <w:ind w:left="5040" w:hanging="360"/>
      </w:pPr>
      <w:rPr>
        <w:rFonts w:ascii="Arial" w:hAnsi="Arial" w:hint="default"/>
      </w:rPr>
    </w:lvl>
    <w:lvl w:ilvl="7" w:tplc="D8584560" w:tentative="1">
      <w:start w:val="1"/>
      <w:numFmt w:val="bullet"/>
      <w:lvlText w:val="•"/>
      <w:lvlJc w:val="left"/>
      <w:pPr>
        <w:tabs>
          <w:tab w:val="num" w:pos="5760"/>
        </w:tabs>
        <w:ind w:left="5760" w:hanging="360"/>
      </w:pPr>
      <w:rPr>
        <w:rFonts w:ascii="Arial" w:hAnsi="Arial" w:hint="default"/>
      </w:rPr>
    </w:lvl>
    <w:lvl w:ilvl="8" w:tplc="E4E6F102"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19B2576"/>
    <w:multiLevelType w:val="multilevel"/>
    <w:tmpl w:val="B566BEE0"/>
    <w:lvl w:ilvl="0">
      <w:start w:val="1"/>
      <w:numFmt w:val="decimal"/>
      <w:pStyle w:val="Heading1"/>
      <w:lvlText w:val="%1"/>
      <w:lvlJc w:val="left"/>
      <w:pPr>
        <w:tabs>
          <w:tab w:val="num" w:pos="720"/>
        </w:tabs>
        <w:ind w:left="720" w:hanging="720"/>
      </w:pPr>
      <w:rPr>
        <w:rFonts w:hint="default"/>
      </w:rPr>
    </w:lvl>
    <w:lvl w:ilvl="1">
      <w:start w:val="1"/>
      <w:numFmt w:val="decimal"/>
      <w:pStyle w:val="Heading2"/>
      <w:lvlText w:val="%1.%2"/>
      <w:lvlJc w:val="left"/>
      <w:pPr>
        <w:tabs>
          <w:tab w:val="num" w:pos="720"/>
        </w:tabs>
        <w:ind w:left="720" w:hanging="720"/>
      </w:pPr>
      <w:rPr>
        <w:rFonts w:hint="default"/>
      </w:rPr>
    </w:lvl>
    <w:lvl w:ilvl="2">
      <w:start w:val="1"/>
      <w:numFmt w:val="decimal"/>
      <w:pStyle w:val="Heading3"/>
      <w:lvlText w:val="%1.%2.%3"/>
      <w:lvlJc w:val="left"/>
      <w:pPr>
        <w:tabs>
          <w:tab w:val="num" w:pos="2422"/>
        </w:tabs>
        <w:ind w:left="2422" w:hanging="720"/>
      </w:pPr>
      <w:rPr>
        <w:rFonts w:hint="default"/>
      </w:rPr>
    </w:lvl>
    <w:lvl w:ilvl="3">
      <w:start w:val="1"/>
      <w:numFmt w:val="decimal"/>
      <w:pStyle w:val="Heading4"/>
      <w:lvlText w:val="%1.%2.%3.%4"/>
      <w:lvlJc w:val="left"/>
      <w:pPr>
        <w:tabs>
          <w:tab w:val="num" w:pos="720"/>
        </w:tabs>
        <w:ind w:left="720" w:hanging="720"/>
      </w:pPr>
      <w:rPr>
        <w:rFonts w:hint="default"/>
      </w:rPr>
    </w:lvl>
    <w:lvl w:ilvl="4">
      <w:start w:val="1"/>
      <w:numFmt w:val="lowerLetter"/>
      <w:lvlText w:val="(%5)"/>
      <w:lvlJc w:val="left"/>
      <w:pPr>
        <w:tabs>
          <w:tab w:val="num" w:pos="720"/>
        </w:tabs>
        <w:ind w:left="720" w:hanging="720"/>
      </w:pPr>
      <w:rPr>
        <w:rFonts w:hint="default"/>
      </w:rPr>
    </w:lvl>
    <w:lvl w:ilvl="5">
      <w:start w:val="1"/>
      <w:numFmt w:val="lowerRoman"/>
      <w:lvlText w:val="(%6)"/>
      <w:lvlJc w:val="left"/>
      <w:pPr>
        <w:tabs>
          <w:tab w:val="num" w:pos="720"/>
        </w:tabs>
        <w:ind w:left="720" w:hanging="720"/>
      </w:pPr>
      <w:rPr>
        <w:rFonts w:hint="default"/>
      </w:rPr>
    </w:lvl>
    <w:lvl w:ilvl="6">
      <w:start w:val="1"/>
      <w:numFmt w:val="decimal"/>
      <w:lvlText w:val="%7."/>
      <w:lvlJc w:val="left"/>
      <w:pPr>
        <w:tabs>
          <w:tab w:val="num" w:pos="720"/>
        </w:tabs>
        <w:ind w:left="720" w:hanging="720"/>
      </w:pPr>
      <w:rPr>
        <w:rFonts w:hint="default"/>
      </w:rPr>
    </w:lvl>
    <w:lvl w:ilvl="7">
      <w:start w:val="1"/>
      <w:numFmt w:val="lowerLetter"/>
      <w:lvlText w:val="%8."/>
      <w:lvlJc w:val="left"/>
      <w:pPr>
        <w:tabs>
          <w:tab w:val="num" w:pos="720"/>
        </w:tabs>
        <w:ind w:left="720" w:hanging="720"/>
      </w:pPr>
      <w:rPr>
        <w:rFonts w:hint="default"/>
      </w:rPr>
    </w:lvl>
    <w:lvl w:ilvl="8">
      <w:start w:val="1"/>
      <w:numFmt w:val="lowerRoman"/>
      <w:lvlText w:val="%9."/>
      <w:lvlJc w:val="left"/>
      <w:pPr>
        <w:tabs>
          <w:tab w:val="num" w:pos="720"/>
        </w:tabs>
        <w:ind w:left="720" w:hanging="720"/>
      </w:pPr>
      <w:rPr>
        <w:rFonts w:hint="default"/>
      </w:rPr>
    </w:lvl>
  </w:abstractNum>
  <w:abstractNum w:abstractNumId="3" w15:restartNumberingAfterBreak="0">
    <w:nsid w:val="11F810BB"/>
    <w:multiLevelType w:val="hybridMultilevel"/>
    <w:tmpl w:val="2362ADCE"/>
    <w:lvl w:ilvl="0" w:tplc="4B7AF192">
      <w:start w:val="1"/>
      <w:numFmt w:val="bullet"/>
      <w:lvlText w:val="•"/>
      <w:lvlJc w:val="left"/>
      <w:pPr>
        <w:tabs>
          <w:tab w:val="num" w:pos="720"/>
        </w:tabs>
        <w:ind w:left="720" w:hanging="360"/>
      </w:pPr>
      <w:rPr>
        <w:rFonts w:ascii="Arial" w:hAnsi="Arial" w:hint="default"/>
      </w:rPr>
    </w:lvl>
    <w:lvl w:ilvl="1" w:tplc="1EB6AC00" w:tentative="1">
      <w:start w:val="1"/>
      <w:numFmt w:val="bullet"/>
      <w:lvlText w:val="•"/>
      <w:lvlJc w:val="left"/>
      <w:pPr>
        <w:tabs>
          <w:tab w:val="num" w:pos="1440"/>
        </w:tabs>
        <w:ind w:left="1440" w:hanging="360"/>
      </w:pPr>
      <w:rPr>
        <w:rFonts w:ascii="Arial" w:hAnsi="Arial" w:hint="default"/>
      </w:rPr>
    </w:lvl>
    <w:lvl w:ilvl="2" w:tplc="03A4F23A" w:tentative="1">
      <w:start w:val="1"/>
      <w:numFmt w:val="bullet"/>
      <w:lvlText w:val="•"/>
      <w:lvlJc w:val="left"/>
      <w:pPr>
        <w:tabs>
          <w:tab w:val="num" w:pos="2160"/>
        </w:tabs>
        <w:ind w:left="2160" w:hanging="360"/>
      </w:pPr>
      <w:rPr>
        <w:rFonts w:ascii="Arial" w:hAnsi="Arial" w:hint="default"/>
      </w:rPr>
    </w:lvl>
    <w:lvl w:ilvl="3" w:tplc="3B082FEC" w:tentative="1">
      <w:start w:val="1"/>
      <w:numFmt w:val="bullet"/>
      <w:lvlText w:val="•"/>
      <w:lvlJc w:val="left"/>
      <w:pPr>
        <w:tabs>
          <w:tab w:val="num" w:pos="2880"/>
        </w:tabs>
        <w:ind w:left="2880" w:hanging="360"/>
      </w:pPr>
      <w:rPr>
        <w:rFonts w:ascii="Arial" w:hAnsi="Arial" w:hint="default"/>
      </w:rPr>
    </w:lvl>
    <w:lvl w:ilvl="4" w:tplc="D5EA28E0" w:tentative="1">
      <w:start w:val="1"/>
      <w:numFmt w:val="bullet"/>
      <w:lvlText w:val="•"/>
      <w:lvlJc w:val="left"/>
      <w:pPr>
        <w:tabs>
          <w:tab w:val="num" w:pos="3600"/>
        </w:tabs>
        <w:ind w:left="3600" w:hanging="360"/>
      </w:pPr>
      <w:rPr>
        <w:rFonts w:ascii="Arial" w:hAnsi="Arial" w:hint="default"/>
      </w:rPr>
    </w:lvl>
    <w:lvl w:ilvl="5" w:tplc="6226C236" w:tentative="1">
      <w:start w:val="1"/>
      <w:numFmt w:val="bullet"/>
      <w:lvlText w:val="•"/>
      <w:lvlJc w:val="left"/>
      <w:pPr>
        <w:tabs>
          <w:tab w:val="num" w:pos="4320"/>
        </w:tabs>
        <w:ind w:left="4320" w:hanging="360"/>
      </w:pPr>
      <w:rPr>
        <w:rFonts w:ascii="Arial" w:hAnsi="Arial" w:hint="default"/>
      </w:rPr>
    </w:lvl>
    <w:lvl w:ilvl="6" w:tplc="174E7D46" w:tentative="1">
      <w:start w:val="1"/>
      <w:numFmt w:val="bullet"/>
      <w:lvlText w:val="•"/>
      <w:lvlJc w:val="left"/>
      <w:pPr>
        <w:tabs>
          <w:tab w:val="num" w:pos="5040"/>
        </w:tabs>
        <w:ind w:left="5040" w:hanging="360"/>
      </w:pPr>
      <w:rPr>
        <w:rFonts w:ascii="Arial" w:hAnsi="Arial" w:hint="default"/>
      </w:rPr>
    </w:lvl>
    <w:lvl w:ilvl="7" w:tplc="80723278" w:tentative="1">
      <w:start w:val="1"/>
      <w:numFmt w:val="bullet"/>
      <w:lvlText w:val="•"/>
      <w:lvlJc w:val="left"/>
      <w:pPr>
        <w:tabs>
          <w:tab w:val="num" w:pos="5760"/>
        </w:tabs>
        <w:ind w:left="5760" w:hanging="360"/>
      </w:pPr>
      <w:rPr>
        <w:rFonts w:ascii="Arial" w:hAnsi="Arial" w:hint="default"/>
      </w:rPr>
    </w:lvl>
    <w:lvl w:ilvl="8" w:tplc="ABB0F04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7D7449A"/>
    <w:multiLevelType w:val="hybridMultilevel"/>
    <w:tmpl w:val="9258BF32"/>
    <w:lvl w:ilvl="0" w:tplc="5DF62476">
      <w:start w:val="1"/>
      <w:numFmt w:val="bullet"/>
      <w:pStyle w:val="FRCBulletSub"/>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097167"/>
    <w:multiLevelType w:val="multilevel"/>
    <w:tmpl w:val="521ED02C"/>
    <w:lvl w:ilvl="0">
      <w:start w:val="1"/>
      <w:numFmt w:val="decimal"/>
      <w:pStyle w:val="FRCNumberedParaLevel1"/>
      <w:lvlText w:val="%1"/>
      <w:lvlJc w:val="left"/>
      <w:pPr>
        <w:tabs>
          <w:tab w:val="num" w:pos="567"/>
        </w:tabs>
        <w:ind w:left="567" w:hanging="567"/>
      </w:pPr>
      <w:rPr>
        <w:rFonts w:hint="default"/>
      </w:rPr>
    </w:lvl>
    <w:lvl w:ilvl="1">
      <w:start w:val="1"/>
      <w:numFmt w:val="decimal"/>
      <w:pStyle w:val="FRCNumberedParaLevel2"/>
      <w:lvlText w:val="%1.%2"/>
      <w:lvlJc w:val="left"/>
      <w:pPr>
        <w:tabs>
          <w:tab w:val="num" w:pos="567"/>
        </w:tabs>
        <w:ind w:left="567"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6" w15:restartNumberingAfterBreak="0">
    <w:nsid w:val="20883EFE"/>
    <w:multiLevelType w:val="hybridMultilevel"/>
    <w:tmpl w:val="BE5447AC"/>
    <w:lvl w:ilvl="0" w:tplc="F1BEA1E6">
      <w:start w:val="1"/>
      <w:numFmt w:val="bullet"/>
      <w:lvlText w:val="•"/>
      <w:lvlJc w:val="left"/>
      <w:pPr>
        <w:tabs>
          <w:tab w:val="num" w:pos="720"/>
        </w:tabs>
        <w:ind w:left="720" w:hanging="360"/>
      </w:pPr>
      <w:rPr>
        <w:rFonts w:ascii="Arial" w:hAnsi="Arial" w:hint="default"/>
      </w:rPr>
    </w:lvl>
    <w:lvl w:ilvl="1" w:tplc="627A570E" w:tentative="1">
      <w:start w:val="1"/>
      <w:numFmt w:val="bullet"/>
      <w:lvlText w:val="•"/>
      <w:lvlJc w:val="left"/>
      <w:pPr>
        <w:tabs>
          <w:tab w:val="num" w:pos="1440"/>
        </w:tabs>
        <w:ind w:left="1440" w:hanging="360"/>
      </w:pPr>
      <w:rPr>
        <w:rFonts w:ascii="Arial" w:hAnsi="Arial" w:hint="default"/>
      </w:rPr>
    </w:lvl>
    <w:lvl w:ilvl="2" w:tplc="0E0AFBD2" w:tentative="1">
      <w:start w:val="1"/>
      <w:numFmt w:val="bullet"/>
      <w:lvlText w:val="•"/>
      <w:lvlJc w:val="left"/>
      <w:pPr>
        <w:tabs>
          <w:tab w:val="num" w:pos="2160"/>
        </w:tabs>
        <w:ind w:left="2160" w:hanging="360"/>
      </w:pPr>
      <w:rPr>
        <w:rFonts w:ascii="Arial" w:hAnsi="Arial" w:hint="default"/>
      </w:rPr>
    </w:lvl>
    <w:lvl w:ilvl="3" w:tplc="3892B6E8" w:tentative="1">
      <w:start w:val="1"/>
      <w:numFmt w:val="bullet"/>
      <w:lvlText w:val="•"/>
      <w:lvlJc w:val="left"/>
      <w:pPr>
        <w:tabs>
          <w:tab w:val="num" w:pos="2880"/>
        </w:tabs>
        <w:ind w:left="2880" w:hanging="360"/>
      </w:pPr>
      <w:rPr>
        <w:rFonts w:ascii="Arial" w:hAnsi="Arial" w:hint="default"/>
      </w:rPr>
    </w:lvl>
    <w:lvl w:ilvl="4" w:tplc="5DFE39DE" w:tentative="1">
      <w:start w:val="1"/>
      <w:numFmt w:val="bullet"/>
      <w:lvlText w:val="•"/>
      <w:lvlJc w:val="left"/>
      <w:pPr>
        <w:tabs>
          <w:tab w:val="num" w:pos="3600"/>
        </w:tabs>
        <w:ind w:left="3600" w:hanging="360"/>
      </w:pPr>
      <w:rPr>
        <w:rFonts w:ascii="Arial" w:hAnsi="Arial" w:hint="default"/>
      </w:rPr>
    </w:lvl>
    <w:lvl w:ilvl="5" w:tplc="8904EE04" w:tentative="1">
      <w:start w:val="1"/>
      <w:numFmt w:val="bullet"/>
      <w:lvlText w:val="•"/>
      <w:lvlJc w:val="left"/>
      <w:pPr>
        <w:tabs>
          <w:tab w:val="num" w:pos="4320"/>
        </w:tabs>
        <w:ind w:left="4320" w:hanging="360"/>
      </w:pPr>
      <w:rPr>
        <w:rFonts w:ascii="Arial" w:hAnsi="Arial" w:hint="default"/>
      </w:rPr>
    </w:lvl>
    <w:lvl w:ilvl="6" w:tplc="A5AAF396" w:tentative="1">
      <w:start w:val="1"/>
      <w:numFmt w:val="bullet"/>
      <w:lvlText w:val="•"/>
      <w:lvlJc w:val="left"/>
      <w:pPr>
        <w:tabs>
          <w:tab w:val="num" w:pos="5040"/>
        </w:tabs>
        <w:ind w:left="5040" w:hanging="360"/>
      </w:pPr>
      <w:rPr>
        <w:rFonts w:ascii="Arial" w:hAnsi="Arial" w:hint="default"/>
      </w:rPr>
    </w:lvl>
    <w:lvl w:ilvl="7" w:tplc="525AA3AC" w:tentative="1">
      <w:start w:val="1"/>
      <w:numFmt w:val="bullet"/>
      <w:lvlText w:val="•"/>
      <w:lvlJc w:val="left"/>
      <w:pPr>
        <w:tabs>
          <w:tab w:val="num" w:pos="5760"/>
        </w:tabs>
        <w:ind w:left="5760" w:hanging="360"/>
      </w:pPr>
      <w:rPr>
        <w:rFonts w:ascii="Arial" w:hAnsi="Arial" w:hint="default"/>
      </w:rPr>
    </w:lvl>
    <w:lvl w:ilvl="8" w:tplc="7E7AADE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0CB40EB"/>
    <w:multiLevelType w:val="hybridMultilevel"/>
    <w:tmpl w:val="F75E7032"/>
    <w:lvl w:ilvl="0" w:tplc="FDC88FC6">
      <w:start w:val="1"/>
      <w:numFmt w:val="bullet"/>
      <w:pStyle w:val="FRCBulletbold"/>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44D560E"/>
    <w:multiLevelType w:val="multilevel"/>
    <w:tmpl w:val="49ACC82A"/>
    <w:lvl w:ilvl="0">
      <w:start w:val="1"/>
      <w:numFmt w:val="decimal"/>
      <w:pStyle w:val="FRCNumberedparagraphs"/>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lowerRoman"/>
      <w:lvlText w:val="%3)"/>
      <w:lvlJc w:val="left"/>
      <w:pPr>
        <w:tabs>
          <w:tab w:val="num" w:pos="1701"/>
        </w:tabs>
        <w:ind w:left="1701" w:hanging="567"/>
      </w:pPr>
      <w:rPr>
        <w:rFonts w:hint="default"/>
      </w:rPr>
    </w:lvl>
    <w:lvl w:ilvl="3">
      <w:start w:val="1"/>
      <w:numFmt w:val="decimal"/>
      <w:lvlText w:val="(%4)"/>
      <w:lvlJc w:val="left"/>
      <w:pPr>
        <w:tabs>
          <w:tab w:val="num" w:pos="2268"/>
        </w:tabs>
        <w:ind w:left="2268" w:hanging="567"/>
      </w:pPr>
      <w:rPr>
        <w:rFonts w:hint="default"/>
      </w:rPr>
    </w:lvl>
    <w:lvl w:ilvl="4">
      <w:start w:val="1"/>
      <w:numFmt w:val="lowerLetter"/>
      <w:lvlText w:val="(%5)"/>
      <w:lvlJc w:val="left"/>
      <w:pPr>
        <w:tabs>
          <w:tab w:val="num" w:pos="2835"/>
        </w:tabs>
        <w:ind w:left="2835" w:hanging="567"/>
      </w:pPr>
      <w:rPr>
        <w:rFonts w:hint="default"/>
      </w:rPr>
    </w:lvl>
    <w:lvl w:ilvl="5">
      <w:start w:val="1"/>
      <w:numFmt w:val="lowerRoman"/>
      <w:lvlText w:val="(%6)"/>
      <w:lvlJc w:val="left"/>
      <w:pPr>
        <w:tabs>
          <w:tab w:val="num" w:pos="3402"/>
        </w:tabs>
        <w:ind w:left="3402" w:hanging="567"/>
      </w:pPr>
      <w:rPr>
        <w:rFonts w:hint="default"/>
      </w:rPr>
    </w:lvl>
    <w:lvl w:ilvl="6">
      <w:start w:val="1"/>
      <w:numFmt w:val="decimal"/>
      <w:lvlText w:val="%7."/>
      <w:lvlJc w:val="left"/>
      <w:pPr>
        <w:tabs>
          <w:tab w:val="num" w:pos="3969"/>
        </w:tabs>
        <w:ind w:left="3969" w:hanging="567"/>
      </w:pPr>
      <w:rPr>
        <w:rFonts w:hint="default"/>
      </w:rPr>
    </w:lvl>
    <w:lvl w:ilvl="7">
      <w:start w:val="1"/>
      <w:numFmt w:val="lowerLetter"/>
      <w:lvlText w:val="%8."/>
      <w:lvlJc w:val="left"/>
      <w:pPr>
        <w:tabs>
          <w:tab w:val="num" w:pos="4536"/>
        </w:tabs>
        <w:ind w:left="4536" w:hanging="567"/>
      </w:pPr>
      <w:rPr>
        <w:rFonts w:hint="default"/>
      </w:rPr>
    </w:lvl>
    <w:lvl w:ilvl="8">
      <w:start w:val="1"/>
      <w:numFmt w:val="lowerRoman"/>
      <w:lvlText w:val="%9."/>
      <w:lvlJc w:val="left"/>
      <w:pPr>
        <w:tabs>
          <w:tab w:val="num" w:pos="5103"/>
        </w:tabs>
        <w:ind w:left="5103" w:hanging="567"/>
      </w:pPr>
      <w:rPr>
        <w:rFonts w:hint="default"/>
      </w:rPr>
    </w:lvl>
  </w:abstractNum>
  <w:abstractNum w:abstractNumId="9" w15:restartNumberingAfterBreak="0">
    <w:nsid w:val="2D3164AF"/>
    <w:multiLevelType w:val="hybridMultilevel"/>
    <w:tmpl w:val="C62888B8"/>
    <w:lvl w:ilvl="0" w:tplc="0809001B">
      <w:start w:val="1"/>
      <w:numFmt w:val="lowerRoman"/>
      <w:lvlText w:val="%1."/>
      <w:lvlJc w:val="right"/>
      <w:pPr>
        <w:ind w:left="1440" w:hanging="360"/>
      </w:p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FB27E83"/>
    <w:multiLevelType w:val="hybridMultilevel"/>
    <w:tmpl w:val="897AAC5C"/>
    <w:lvl w:ilvl="0" w:tplc="1C090003">
      <w:start w:val="1"/>
      <w:numFmt w:val="bullet"/>
      <w:lvlText w:val="o"/>
      <w:lvlJc w:val="left"/>
      <w:pPr>
        <w:tabs>
          <w:tab w:val="num" w:pos="720"/>
        </w:tabs>
        <w:ind w:left="720" w:hanging="360"/>
      </w:pPr>
      <w:rPr>
        <w:rFonts w:ascii="Courier New" w:hAnsi="Courier New" w:cs="Courier New" w:hint="default"/>
      </w:rPr>
    </w:lvl>
    <w:lvl w:ilvl="1" w:tplc="1C090003">
      <w:start w:val="1"/>
      <w:numFmt w:val="bullet"/>
      <w:lvlText w:val="o"/>
      <w:lvlJc w:val="left"/>
      <w:pPr>
        <w:tabs>
          <w:tab w:val="num" w:pos="1440"/>
        </w:tabs>
        <w:ind w:left="1440" w:hanging="360"/>
      </w:pPr>
      <w:rPr>
        <w:rFonts w:ascii="Courier New" w:hAnsi="Courier New" w:cs="Courier New" w:hint="default"/>
      </w:rPr>
    </w:lvl>
    <w:lvl w:ilvl="2" w:tplc="D0B2D8E8" w:tentative="1">
      <w:start w:val="1"/>
      <w:numFmt w:val="bullet"/>
      <w:lvlText w:val="•"/>
      <w:lvlJc w:val="left"/>
      <w:pPr>
        <w:tabs>
          <w:tab w:val="num" w:pos="2160"/>
        </w:tabs>
        <w:ind w:left="2160" w:hanging="360"/>
      </w:pPr>
      <w:rPr>
        <w:rFonts w:ascii="Arial" w:hAnsi="Arial" w:hint="default"/>
      </w:rPr>
    </w:lvl>
    <w:lvl w:ilvl="3" w:tplc="D8F48338" w:tentative="1">
      <w:start w:val="1"/>
      <w:numFmt w:val="bullet"/>
      <w:lvlText w:val="•"/>
      <w:lvlJc w:val="left"/>
      <w:pPr>
        <w:tabs>
          <w:tab w:val="num" w:pos="2880"/>
        </w:tabs>
        <w:ind w:left="2880" w:hanging="360"/>
      </w:pPr>
      <w:rPr>
        <w:rFonts w:ascii="Arial" w:hAnsi="Arial" w:hint="default"/>
      </w:rPr>
    </w:lvl>
    <w:lvl w:ilvl="4" w:tplc="9962C1BE" w:tentative="1">
      <w:start w:val="1"/>
      <w:numFmt w:val="bullet"/>
      <w:lvlText w:val="•"/>
      <w:lvlJc w:val="left"/>
      <w:pPr>
        <w:tabs>
          <w:tab w:val="num" w:pos="3600"/>
        </w:tabs>
        <w:ind w:left="3600" w:hanging="360"/>
      </w:pPr>
      <w:rPr>
        <w:rFonts w:ascii="Arial" w:hAnsi="Arial" w:hint="default"/>
      </w:rPr>
    </w:lvl>
    <w:lvl w:ilvl="5" w:tplc="0F1AC884" w:tentative="1">
      <w:start w:val="1"/>
      <w:numFmt w:val="bullet"/>
      <w:lvlText w:val="•"/>
      <w:lvlJc w:val="left"/>
      <w:pPr>
        <w:tabs>
          <w:tab w:val="num" w:pos="4320"/>
        </w:tabs>
        <w:ind w:left="4320" w:hanging="360"/>
      </w:pPr>
      <w:rPr>
        <w:rFonts w:ascii="Arial" w:hAnsi="Arial" w:hint="default"/>
      </w:rPr>
    </w:lvl>
    <w:lvl w:ilvl="6" w:tplc="20DE5B2E" w:tentative="1">
      <w:start w:val="1"/>
      <w:numFmt w:val="bullet"/>
      <w:lvlText w:val="•"/>
      <w:lvlJc w:val="left"/>
      <w:pPr>
        <w:tabs>
          <w:tab w:val="num" w:pos="5040"/>
        </w:tabs>
        <w:ind w:left="5040" w:hanging="360"/>
      </w:pPr>
      <w:rPr>
        <w:rFonts w:ascii="Arial" w:hAnsi="Arial" w:hint="default"/>
      </w:rPr>
    </w:lvl>
    <w:lvl w:ilvl="7" w:tplc="517A3CE8" w:tentative="1">
      <w:start w:val="1"/>
      <w:numFmt w:val="bullet"/>
      <w:lvlText w:val="•"/>
      <w:lvlJc w:val="left"/>
      <w:pPr>
        <w:tabs>
          <w:tab w:val="num" w:pos="5760"/>
        </w:tabs>
        <w:ind w:left="5760" w:hanging="360"/>
      </w:pPr>
      <w:rPr>
        <w:rFonts w:ascii="Arial" w:hAnsi="Arial" w:hint="default"/>
      </w:rPr>
    </w:lvl>
    <w:lvl w:ilvl="8" w:tplc="F85C9C6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39C75389"/>
    <w:multiLevelType w:val="hybridMultilevel"/>
    <w:tmpl w:val="FD9847C6"/>
    <w:lvl w:ilvl="0" w:tplc="DAD4B4B0">
      <w:start w:val="1"/>
      <w:numFmt w:val="bullet"/>
      <w:lvlText w:val="•"/>
      <w:lvlJc w:val="left"/>
      <w:pPr>
        <w:tabs>
          <w:tab w:val="num" w:pos="720"/>
        </w:tabs>
        <w:ind w:left="720" w:hanging="360"/>
      </w:pPr>
      <w:rPr>
        <w:rFonts w:ascii="Arial" w:hAnsi="Arial" w:hint="default"/>
      </w:rPr>
    </w:lvl>
    <w:lvl w:ilvl="1" w:tplc="6F4C4530" w:tentative="1">
      <w:start w:val="1"/>
      <w:numFmt w:val="bullet"/>
      <w:lvlText w:val="•"/>
      <w:lvlJc w:val="left"/>
      <w:pPr>
        <w:tabs>
          <w:tab w:val="num" w:pos="1440"/>
        </w:tabs>
        <w:ind w:left="1440" w:hanging="360"/>
      </w:pPr>
      <w:rPr>
        <w:rFonts w:ascii="Arial" w:hAnsi="Arial" w:hint="default"/>
      </w:rPr>
    </w:lvl>
    <w:lvl w:ilvl="2" w:tplc="AB148A5E" w:tentative="1">
      <w:start w:val="1"/>
      <w:numFmt w:val="bullet"/>
      <w:lvlText w:val="•"/>
      <w:lvlJc w:val="left"/>
      <w:pPr>
        <w:tabs>
          <w:tab w:val="num" w:pos="2160"/>
        </w:tabs>
        <w:ind w:left="2160" w:hanging="360"/>
      </w:pPr>
      <w:rPr>
        <w:rFonts w:ascii="Arial" w:hAnsi="Arial" w:hint="default"/>
      </w:rPr>
    </w:lvl>
    <w:lvl w:ilvl="3" w:tplc="C91A8938" w:tentative="1">
      <w:start w:val="1"/>
      <w:numFmt w:val="bullet"/>
      <w:lvlText w:val="•"/>
      <w:lvlJc w:val="left"/>
      <w:pPr>
        <w:tabs>
          <w:tab w:val="num" w:pos="2880"/>
        </w:tabs>
        <w:ind w:left="2880" w:hanging="360"/>
      </w:pPr>
      <w:rPr>
        <w:rFonts w:ascii="Arial" w:hAnsi="Arial" w:hint="default"/>
      </w:rPr>
    </w:lvl>
    <w:lvl w:ilvl="4" w:tplc="91F86A7A" w:tentative="1">
      <w:start w:val="1"/>
      <w:numFmt w:val="bullet"/>
      <w:lvlText w:val="•"/>
      <w:lvlJc w:val="left"/>
      <w:pPr>
        <w:tabs>
          <w:tab w:val="num" w:pos="3600"/>
        </w:tabs>
        <w:ind w:left="3600" w:hanging="360"/>
      </w:pPr>
      <w:rPr>
        <w:rFonts w:ascii="Arial" w:hAnsi="Arial" w:hint="default"/>
      </w:rPr>
    </w:lvl>
    <w:lvl w:ilvl="5" w:tplc="60864CAE" w:tentative="1">
      <w:start w:val="1"/>
      <w:numFmt w:val="bullet"/>
      <w:lvlText w:val="•"/>
      <w:lvlJc w:val="left"/>
      <w:pPr>
        <w:tabs>
          <w:tab w:val="num" w:pos="4320"/>
        </w:tabs>
        <w:ind w:left="4320" w:hanging="360"/>
      </w:pPr>
      <w:rPr>
        <w:rFonts w:ascii="Arial" w:hAnsi="Arial" w:hint="default"/>
      </w:rPr>
    </w:lvl>
    <w:lvl w:ilvl="6" w:tplc="28F6F190" w:tentative="1">
      <w:start w:val="1"/>
      <w:numFmt w:val="bullet"/>
      <w:lvlText w:val="•"/>
      <w:lvlJc w:val="left"/>
      <w:pPr>
        <w:tabs>
          <w:tab w:val="num" w:pos="5040"/>
        </w:tabs>
        <w:ind w:left="5040" w:hanging="360"/>
      </w:pPr>
      <w:rPr>
        <w:rFonts w:ascii="Arial" w:hAnsi="Arial" w:hint="default"/>
      </w:rPr>
    </w:lvl>
    <w:lvl w:ilvl="7" w:tplc="CCFC7F1A" w:tentative="1">
      <w:start w:val="1"/>
      <w:numFmt w:val="bullet"/>
      <w:lvlText w:val="•"/>
      <w:lvlJc w:val="left"/>
      <w:pPr>
        <w:tabs>
          <w:tab w:val="num" w:pos="5760"/>
        </w:tabs>
        <w:ind w:left="5760" w:hanging="360"/>
      </w:pPr>
      <w:rPr>
        <w:rFonts w:ascii="Arial" w:hAnsi="Arial" w:hint="default"/>
      </w:rPr>
    </w:lvl>
    <w:lvl w:ilvl="8" w:tplc="771C0B46"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B015AC6"/>
    <w:multiLevelType w:val="hybridMultilevel"/>
    <w:tmpl w:val="3BE41D1A"/>
    <w:lvl w:ilvl="0" w:tplc="7A744FFE">
      <w:start w:val="1"/>
      <w:numFmt w:val="bullet"/>
      <w:pStyle w:val="FRC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C170DD"/>
    <w:multiLevelType w:val="hybridMultilevel"/>
    <w:tmpl w:val="29921ADC"/>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4F3A2ADF"/>
    <w:multiLevelType w:val="hybridMultilevel"/>
    <w:tmpl w:val="2F6A40D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15:restartNumberingAfterBreak="0">
    <w:nsid w:val="53CC103A"/>
    <w:multiLevelType w:val="hybridMultilevel"/>
    <w:tmpl w:val="4CA61420"/>
    <w:lvl w:ilvl="0" w:tplc="08090019">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861488F"/>
    <w:multiLevelType w:val="hybridMultilevel"/>
    <w:tmpl w:val="B98CD44E"/>
    <w:lvl w:ilvl="0" w:tplc="70D88830">
      <w:start w:val="1"/>
      <w:numFmt w:val="bullet"/>
      <w:lvlText w:val="•"/>
      <w:lvlJc w:val="left"/>
      <w:pPr>
        <w:tabs>
          <w:tab w:val="num" w:pos="720"/>
        </w:tabs>
        <w:ind w:left="720" w:hanging="360"/>
      </w:pPr>
      <w:rPr>
        <w:rFonts w:ascii="Arial" w:hAnsi="Arial" w:hint="default"/>
      </w:rPr>
    </w:lvl>
    <w:lvl w:ilvl="1" w:tplc="17E87B64" w:tentative="1">
      <w:start w:val="1"/>
      <w:numFmt w:val="bullet"/>
      <w:lvlText w:val="•"/>
      <w:lvlJc w:val="left"/>
      <w:pPr>
        <w:tabs>
          <w:tab w:val="num" w:pos="1440"/>
        </w:tabs>
        <w:ind w:left="1440" w:hanging="360"/>
      </w:pPr>
      <w:rPr>
        <w:rFonts w:ascii="Arial" w:hAnsi="Arial" w:hint="default"/>
      </w:rPr>
    </w:lvl>
    <w:lvl w:ilvl="2" w:tplc="06E26CA2" w:tentative="1">
      <w:start w:val="1"/>
      <w:numFmt w:val="bullet"/>
      <w:lvlText w:val="•"/>
      <w:lvlJc w:val="left"/>
      <w:pPr>
        <w:tabs>
          <w:tab w:val="num" w:pos="2160"/>
        </w:tabs>
        <w:ind w:left="2160" w:hanging="360"/>
      </w:pPr>
      <w:rPr>
        <w:rFonts w:ascii="Arial" w:hAnsi="Arial" w:hint="default"/>
      </w:rPr>
    </w:lvl>
    <w:lvl w:ilvl="3" w:tplc="E7E25976" w:tentative="1">
      <w:start w:val="1"/>
      <w:numFmt w:val="bullet"/>
      <w:lvlText w:val="•"/>
      <w:lvlJc w:val="left"/>
      <w:pPr>
        <w:tabs>
          <w:tab w:val="num" w:pos="2880"/>
        </w:tabs>
        <w:ind w:left="2880" w:hanging="360"/>
      </w:pPr>
      <w:rPr>
        <w:rFonts w:ascii="Arial" w:hAnsi="Arial" w:hint="default"/>
      </w:rPr>
    </w:lvl>
    <w:lvl w:ilvl="4" w:tplc="6C1ABC26" w:tentative="1">
      <w:start w:val="1"/>
      <w:numFmt w:val="bullet"/>
      <w:lvlText w:val="•"/>
      <w:lvlJc w:val="left"/>
      <w:pPr>
        <w:tabs>
          <w:tab w:val="num" w:pos="3600"/>
        </w:tabs>
        <w:ind w:left="3600" w:hanging="360"/>
      </w:pPr>
      <w:rPr>
        <w:rFonts w:ascii="Arial" w:hAnsi="Arial" w:hint="default"/>
      </w:rPr>
    </w:lvl>
    <w:lvl w:ilvl="5" w:tplc="9E5EFB38" w:tentative="1">
      <w:start w:val="1"/>
      <w:numFmt w:val="bullet"/>
      <w:lvlText w:val="•"/>
      <w:lvlJc w:val="left"/>
      <w:pPr>
        <w:tabs>
          <w:tab w:val="num" w:pos="4320"/>
        </w:tabs>
        <w:ind w:left="4320" w:hanging="360"/>
      </w:pPr>
      <w:rPr>
        <w:rFonts w:ascii="Arial" w:hAnsi="Arial" w:hint="default"/>
      </w:rPr>
    </w:lvl>
    <w:lvl w:ilvl="6" w:tplc="2FB80D1C" w:tentative="1">
      <w:start w:val="1"/>
      <w:numFmt w:val="bullet"/>
      <w:lvlText w:val="•"/>
      <w:lvlJc w:val="left"/>
      <w:pPr>
        <w:tabs>
          <w:tab w:val="num" w:pos="5040"/>
        </w:tabs>
        <w:ind w:left="5040" w:hanging="360"/>
      </w:pPr>
      <w:rPr>
        <w:rFonts w:ascii="Arial" w:hAnsi="Arial" w:hint="default"/>
      </w:rPr>
    </w:lvl>
    <w:lvl w:ilvl="7" w:tplc="5B0061EC" w:tentative="1">
      <w:start w:val="1"/>
      <w:numFmt w:val="bullet"/>
      <w:lvlText w:val="•"/>
      <w:lvlJc w:val="left"/>
      <w:pPr>
        <w:tabs>
          <w:tab w:val="num" w:pos="5760"/>
        </w:tabs>
        <w:ind w:left="5760" w:hanging="360"/>
      </w:pPr>
      <w:rPr>
        <w:rFonts w:ascii="Arial" w:hAnsi="Arial" w:hint="default"/>
      </w:rPr>
    </w:lvl>
    <w:lvl w:ilvl="8" w:tplc="1A7E9DC0"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60421B17"/>
    <w:multiLevelType w:val="hybridMultilevel"/>
    <w:tmpl w:val="7CAA1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33B18DC"/>
    <w:multiLevelType w:val="multilevel"/>
    <w:tmpl w:val="707229A2"/>
    <w:lvl w:ilvl="0">
      <w:start w:val="1"/>
      <w:numFmt w:val="lowerRoman"/>
      <w:pStyle w:val="FRCRomannumbering"/>
      <w:lvlText w:val="(%1)"/>
      <w:lvlJc w:val="left"/>
      <w:pPr>
        <w:tabs>
          <w:tab w:val="num" w:pos="1871"/>
        </w:tabs>
        <w:ind w:left="1871" w:hanging="510"/>
      </w:pPr>
      <w:rPr>
        <w:rFonts w:hint="default"/>
        <w:b w:val="0"/>
        <w:i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6A71333F"/>
    <w:multiLevelType w:val="multilevel"/>
    <w:tmpl w:val="65B2E936"/>
    <w:lvl w:ilvl="0">
      <w:start w:val="1"/>
      <w:numFmt w:val="lowerLetter"/>
      <w:pStyle w:val="FRCAlphanumbering"/>
      <w:lvlText w:val="(%1)"/>
      <w:lvlJc w:val="left"/>
      <w:pPr>
        <w:tabs>
          <w:tab w:val="num" w:pos="1349"/>
        </w:tabs>
        <w:ind w:left="1349" w:hanging="425"/>
      </w:pPr>
      <w:rPr>
        <w:rFonts w:hint="default"/>
        <w:b w:val="0"/>
        <w:i/>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6EFE43C0"/>
    <w:multiLevelType w:val="hybridMultilevel"/>
    <w:tmpl w:val="A4FE2B4E"/>
    <w:lvl w:ilvl="0" w:tplc="9F8AF8F2">
      <w:start w:val="1"/>
      <w:numFmt w:val="bullet"/>
      <w:lvlText w:val="•"/>
      <w:lvlJc w:val="left"/>
      <w:pPr>
        <w:tabs>
          <w:tab w:val="num" w:pos="720"/>
        </w:tabs>
        <w:ind w:left="720" w:hanging="360"/>
      </w:pPr>
      <w:rPr>
        <w:rFonts w:ascii="Arial" w:hAnsi="Arial" w:hint="default"/>
      </w:rPr>
    </w:lvl>
    <w:lvl w:ilvl="1" w:tplc="DCC28A9C" w:tentative="1">
      <w:start w:val="1"/>
      <w:numFmt w:val="bullet"/>
      <w:lvlText w:val="•"/>
      <w:lvlJc w:val="left"/>
      <w:pPr>
        <w:tabs>
          <w:tab w:val="num" w:pos="1440"/>
        </w:tabs>
        <w:ind w:left="1440" w:hanging="360"/>
      </w:pPr>
      <w:rPr>
        <w:rFonts w:ascii="Arial" w:hAnsi="Arial" w:hint="default"/>
      </w:rPr>
    </w:lvl>
    <w:lvl w:ilvl="2" w:tplc="E550AD18" w:tentative="1">
      <w:start w:val="1"/>
      <w:numFmt w:val="bullet"/>
      <w:lvlText w:val="•"/>
      <w:lvlJc w:val="left"/>
      <w:pPr>
        <w:tabs>
          <w:tab w:val="num" w:pos="2160"/>
        </w:tabs>
        <w:ind w:left="2160" w:hanging="360"/>
      </w:pPr>
      <w:rPr>
        <w:rFonts w:ascii="Arial" w:hAnsi="Arial" w:hint="default"/>
      </w:rPr>
    </w:lvl>
    <w:lvl w:ilvl="3" w:tplc="207CACF2" w:tentative="1">
      <w:start w:val="1"/>
      <w:numFmt w:val="bullet"/>
      <w:lvlText w:val="•"/>
      <w:lvlJc w:val="left"/>
      <w:pPr>
        <w:tabs>
          <w:tab w:val="num" w:pos="2880"/>
        </w:tabs>
        <w:ind w:left="2880" w:hanging="360"/>
      </w:pPr>
      <w:rPr>
        <w:rFonts w:ascii="Arial" w:hAnsi="Arial" w:hint="default"/>
      </w:rPr>
    </w:lvl>
    <w:lvl w:ilvl="4" w:tplc="4D16C3B4" w:tentative="1">
      <w:start w:val="1"/>
      <w:numFmt w:val="bullet"/>
      <w:lvlText w:val="•"/>
      <w:lvlJc w:val="left"/>
      <w:pPr>
        <w:tabs>
          <w:tab w:val="num" w:pos="3600"/>
        </w:tabs>
        <w:ind w:left="3600" w:hanging="360"/>
      </w:pPr>
      <w:rPr>
        <w:rFonts w:ascii="Arial" w:hAnsi="Arial" w:hint="default"/>
      </w:rPr>
    </w:lvl>
    <w:lvl w:ilvl="5" w:tplc="7A743554" w:tentative="1">
      <w:start w:val="1"/>
      <w:numFmt w:val="bullet"/>
      <w:lvlText w:val="•"/>
      <w:lvlJc w:val="left"/>
      <w:pPr>
        <w:tabs>
          <w:tab w:val="num" w:pos="4320"/>
        </w:tabs>
        <w:ind w:left="4320" w:hanging="360"/>
      </w:pPr>
      <w:rPr>
        <w:rFonts w:ascii="Arial" w:hAnsi="Arial" w:hint="default"/>
      </w:rPr>
    </w:lvl>
    <w:lvl w:ilvl="6" w:tplc="32147C42" w:tentative="1">
      <w:start w:val="1"/>
      <w:numFmt w:val="bullet"/>
      <w:lvlText w:val="•"/>
      <w:lvlJc w:val="left"/>
      <w:pPr>
        <w:tabs>
          <w:tab w:val="num" w:pos="5040"/>
        </w:tabs>
        <w:ind w:left="5040" w:hanging="360"/>
      </w:pPr>
      <w:rPr>
        <w:rFonts w:ascii="Arial" w:hAnsi="Arial" w:hint="default"/>
      </w:rPr>
    </w:lvl>
    <w:lvl w:ilvl="7" w:tplc="723CEDFA" w:tentative="1">
      <w:start w:val="1"/>
      <w:numFmt w:val="bullet"/>
      <w:lvlText w:val="•"/>
      <w:lvlJc w:val="left"/>
      <w:pPr>
        <w:tabs>
          <w:tab w:val="num" w:pos="5760"/>
        </w:tabs>
        <w:ind w:left="5760" w:hanging="360"/>
      </w:pPr>
      <w:rPr>
        <w:rFonts w:ascii="Arial" w:hAnsi="Arial" w:hint="default"/>
      </w:rPr>
    </w:lvl>
    <w:lvl w:ilvl="8" w:tplc="50B4726C"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BF77350"/>
    <w:multiLevelType w:val="hybridMultilevel"/>
    <w:tmpl w:val="BCA21A42"/>
    <w:lvl w:ilvl="0" w:tplc="34BA535E">
      <w:start w:val="3"/>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9"/>
  </w:num>
  <w:num w:numId="4">
    <w:abstractNumId w:val="12"/>
  </w:num>
  <w:num w:numId="5">
    <w:abstractNumId w:val="7"/>
  </w:num>
  <w:num w:numId="6">
    <w:abstractNumId w:val="4"/>
  </w:num>
  <w:num w:numId="7">
    <w:abstractNumId w:val="18"/>
  </w:num>
  <w:num w:numId="8">
    <w:abstractNumId w:val="5"/>
  </w:num>
  <w:num w:numId="9">
    <w:abstractNumId w:val="14"/>
  </w:num>
  <w:num w:numId="10">
    <w:abstractNumId w:val="6"/>
  </w:num>
  <w:num w:numId="11">
    <w:abstractNumId w:val="1"/>
  </w:num>
  <w:num w:numId="12">
    <w:abstractNumId w:val="11"/>
  </w:num>
  <w:num w:numId="13">
    <w:abstractNumId w:val="20"/>
  </w:num>
  <w:num w:numId="14">
    <w:abstractNumId w:val="3"/>
  </w:num>
  <w:num w:numId="15">
    <w:abstractNumId w:val="0"/>
  </w:num>
  <w:num w:numId="16">
    <w:abstractNumId w:val="16"/>
  </w:num>
  <w:num w:numId="17">
    <w:abstractNumId w:val="10"/>
  </w:num>
  <w:num w:numId="18">
    <w:abstractNumId w:val="21"/>
  </w:num>
  <w:num w:numId="19">
    <w:abstractNumId w:val="13"/>
  </w:num>
  <w:num w:numId="20">
    <w:abstractNumId w:val="17"/>
  </w:num>
  <w:num w:numId="21">
    <w:abstractNumId w:val="15"/>
  </w:num>
  <w:num w:numId="22">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B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1"/>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608"/>
    <w:rsid w:val="00001AE0"/>
    <w:rsid w:val="00017DE6"/>
    <w:rsid w:val="00031800"/>
    <w:rsid w:val="000331C5"/>
    <w:rsid w:val="0003653C"/>
    <w:rsid w:val="0003693C"/>
    <w:rsid w:val="000479B3"/>
    <w:rsid w:val="00050FAA"/>
    <w:rsid w:val="00061C71"/>
    <w:rsid w:val="0006267E"/>
    <w:rsid w:val="000638AC"/>
    <w:rsid w:val="00063A10"/>
    <w:rsid w:val="000662DC"/>
    <w:rsid w:val="00071021"/>
    <w:rsid w:val="00075551"/>
    <w:rsid w:val="000766DF"/>
    <w:rsid w:val="00087C8B"/>
    <w:rsid w:val="00090AC8"/>
    <w:rsid w:val="000A130D"/>
    <w:rsid w:val="000A2E2A"/>
    <w:rsid w:val="000A4844"/>
    <w:rsid w:val="000A5CA4"/>
    <w:rsid w:val="000A6200"/>
    <w:rsid w:val="000A73CF"/>
    <w:rsid w:val="000B2299"/>
    <w:rsid w:val="000B4DFD"/>
    <w:rsid w:val="000C17E2"/>
    <w:rsid w:val="000C455F"/>
    <w:rsid w:val="000C5F1B"/>
    <w:rsid w:val="000C68B0"/>
    <w:rsid w:val="000C77CF"/>
    <w:rsid w:val="000D01C6"/>
    <w:rsid w:val="000D06AF"/>
    <w:rsid w:val="000E3997"/>
    <w:rsid w:val="000F090F"/>
    <w:rsid w:val="000F7293"/>
    <w:rsid w:val="000F7570"/>
    <w:rsid w:val="00100956"/>
    <w:rsid w:val="00100CBF"/>
    <w:rsid w:val="001068D9"/>
    <w:rsid w:val="00116CF6"/>
    <w:rsid w:val="00121F1B"/>
    <w:rsid w:val="00122018"/>
    <w:rsid w:val="001230C3"/>
    <w:rsid w:val="001306EE"/>
    <w:rsid w:val="00132881"/>
    <w:rsid w:val="00134636"/>
    <w:rsid w:val="001349DC"/>
    <w:rsid w:val="0014048E"/>
    <w:rsid w:val="00140522"/>
    <w:rsid w:val="001431F5"/>
    <w:rsid w:val="00147E59"/>
    <w:rsid w:val="00153009"/>
    <w:rsid w:val="001568F4"/>
    <w:rsid w:val="00156BF2"/>
    <w:rsid w:val="00160526"/>
    <w:rsid w:val="00161AEC"/>
    <w:rsid w:val="001620B3"/>
    <w:rsid w:val="00162ECF"/>
    <w:rsid w:val="00167F71"/>
    <w:rsid w:val="00175D2D"/>
    <w:rsid w:val="00176659"/>
    <w:rsid w:val="0018285D"/>
    <w:rsid w:val="00185597"/>
    <w:rsid w:val="001863E3"/>
    <w:rsid w:val="001918A5"/>
    <w:rsid w:val="00194084"/>
    <w:rsid w:val="00197889"/>
    <w:rsid w:val="001A79B2"/>
    <w:rsid w:val="001B2C38"/>
    <w:rsid w:val="001C1195"/>
    <w:rsid w:val="001C2C1B"/>
    <w:rsid w:val="001D2FFD"/>
    <w:rsid w:val="001D5587"/>
    <w:rsid w:val="001D7822"/>
    <w:rsid w:val="001E3CFC"/>
    <w:rsid w:val="001E51A8"/>
    <w:rsid w:val="001E5565"/>
    <w:rsid w:val="001E7D0A"/>
    <w:rsid w:val="001F12DE"/>
    <w:rsid w:val="00201391"/>
    <w:rsid w:val="002042CA"/>
    <w:rsid w:val="00210EF7"/>
    <w:rsid w:val="002120AB"/>
    <w:rsid w:val="002142E2"/>
    <w:rsid w:val="00217374"/>
    <w:rsid w:val="00221B89"/>
    <w:rsid w:val="00230473"/>
    <w:rsid w:val="0024577E"/>
    <w:rsid w:val="002471E5"/>
    <w:rsid w:val="002568C3"/>
    <w:rsid w:val="0026366D"/>
    <w:rsid w:val="0026372D"/>
    <w:rsid w:val="00264C0A"/>
    <w:rsid w:val="002669B6"/>
    <w:rsid w:val="00276C65"/>
    <w:rsid w:val="00277788"/>
    <w:rsid w:val="00286209"/>
    <w:rsid w:val="002B0667"/>
    <w:rsid w:val="002B43EC"/>
    <w:rsid w:val="002B65F5"/>
    <w:rsid w:val="002B7B53"/>
    <w:rsid w:val="002C2943"/>
    <w:rsid w:val="002C3D68"/>
    <w:rsid w:val="002C5205"/>
    <w:rsid w:val="002D739A"/>
    <w:rsid w:val="002D7AB6"/>
    <w:rsid w:val="002F6144"/>
    <w:rsid w:val="00304B4A"/>
    <w:rsid w:val="0030702B"/>
    <w:rsid w:val="00313030"/>
    <w:rsid w:val="00315355"/>
    <w:rsid w:val="00330A23"/>
    <w:rsid w:val="00332AF0"/>
    <w:rsid w:val="003409EF"/>
    <w:rsid w:val="00341D14"/>
    <w:rsid w:val="003455EB"/>
    <w:rsid w:val="00346803"/>
    <w:rsid w:val="003508CE"/>
    <w:rsid w:val="003516F7"/>
    <w:rsid w:val="00356075"/>
    <w:rsid w:val="00365049"/>
    <w:rsid w:val="0037001D"/>
    <w:rsid w:val="0037137B"/>
    <w:rsid w:val="003727EE"/>
    <w:rsid w:val="003738C0"/>
    <w:rsid w:val="00380AB7"/>
    <w:rsid w:val="00381E87"/>
    <w:rsid w:val="003858E3"/>
    <w:rsid w:val="003869CA"/>
    <w:rsid w:val="00396F28"/>
    <w:rsid w:val="003A31B8"/>
    <w:rsid w:val="003A3DE0"/>
    <w:rsid w:val="003A59FB"/>
    <w:rsid w:val="003B536E"/>
    <w:rsid w:val="003B550F"/>
    <w:rsid w:val="003B74D3"/>
    <w:rsid w:val="003C0E3C"/>
    <w:rsid w:val="003C4CFF"/>
    <w:rsid w:val="003C7BBE"/>
    <w:rsid w:val="003D005F"/>
    <w:rsid w:val="003D2F85"/>
    <w:rsid w:val="003D6738"/>
    <w:rsid w:val="003D6A00"/>
    <w:rsid w:val="003E1BA4"/>
    <w:rsid w:val="00403BC8"/>
    <w:rsid w:val="004053B2"/>
    <w:rsid w:val="00424E87"/>
    <w:rsid w:val="004268E5"/>
    <w:rsid w:val="00435CCC"/>
    <w:rsid w:val="004441A5"/>
    <w:rsid w:val="00447071"/>
    <w:rsid w:val="0045169D"/>
    <w:rsid w:val="00456E90"/>
    <w:rsid w:val="00462111"/>
    <w:rsid w:val="00466768"/>
    <w:rsid w:val="004674F7"/>
    <w:rsid w:val="00467ECA"/>
    <w:rsid w:val="0048133C"/>
    <w:rsid w:val="00482518"/>
    <w:rsid w:val="00494197"/>
    <w:rsid w:val="004959C1"/>
    <w:rsid w:val="00498232"/>
    <w:rsid w:val="004A7612"/>
    <w:rsid w:val="004B3354"/>
    <w:rsid w:val="004C2CC7"/>
    <w:rsid w:val="004C6229"/>
    <w:rsid w:val="004C6883"/>
    <w:rsid w:val="004E0426"/>
    <w:rsid w:val="004E3C54"/>
    <w:rsid w:val="004E66DF"/>
    <w:rsid w:val="004F3509"/>
    <w:rsid w:val="00501930"/>
    <w:rsid w:val="005133C6"/>
    <w:rsid w:val="00515230"/>
    <w:rsid w:val="005242C0"/>
    <w:rsid w:val="00530473"/>
    <w:rsid w:val="00531118"/>
    <w:rsid w:val="00540F6B"/>
    <w:rsid w:val="00541D7E"/>
    <w:rsid w:val="005441CA"/>
    <w:rsid w:val="00547E58"/>
    <w:rsid w:val="00551AB5"/>
    <w:rsid w:val="00562778"/>
    <w:rsid w:val="0057793C"/>
    <w:rsid w:val="00582F19"/>
    <w:rsid w:val="00591541"/>
    <w:rsid w:val="005925A7"/>
    <w:rsid w:val="005A0710"/>
    <w:rsid w:val="005A3D59"/>
    <w:rsid w:val="005B1599"/>
    <w:rsid w:val="005B1D22"/>
    <w:rsid w:val="005B58DE"/>
    <w:rsid w:val="005C3668"/>
    <w:rsid w:val="005C7301"/>
    <w:rsid w:val="005C73E4"/>
    <w:rsid w:val="005E495D"/>
    <w:rsid w:val="005E6EF1"/>
    <w:rsid w:val="005F658C"/>
    <w:rsid w:val="00606E04"/>
    <w:rsid w:val="00612D9E"/>
    <w:rsid w:val="00612E27"/>
    <w:rsid w:val="00624A6A"/>
    <w:rsid w:val="00627E15"/>
    <w:rsid w:val="00643C5A"/>
    <w:rsid w:val="006440D9"/>
    <w:rsid w:val="00660CF7"/>
    <w:rsid w:val="00665C42"/>
    <w:rsid w:val="006754B7"/>
    <w:rsid w:val="0067799C"/>
    <w:rsid w:val="0068414D"/>
    <w:rsid w:val="0068497A"/>
    <w:rsid w:val="00685BAB"/>
    <w:rsid w:val="006A7815"/>
    <w:rsid w:val="006C507F"/>
    <w:rsid w:val="006D337A"/>
    <w:rsid w:val="006E22A8"/>
    <w:rsid w:val="006E5499"/>
    <w:rsid w:val="006F0D65"/>
    <w:rsid w:val="006F35CC"/>
    <w:rsid w:val="006F7364"/>
    <w:rsid w:val="00700AFF"/>
    <w:rsid w:val="00711780"/>
    <w:rsid w:val="00714B24"/>
    <w:rsid w:val="00727342"/>
    <w:rsid w:val="00727A05"/>
    <w:rsid w:val="007310DC"/>
    <w:rsid w:val="007325B8"/>
    <w:rsid w:val="007330DA"/>
    <w:rsid w:val="00733EF2"/>
    <w:rsid w:val="00742F9B"/>
    <w:rsid w:val="0074710A"/>
    <w:rsid w:val="007610EA"/>
    <w:rsid w:val="007623D0"/>
    <w:rsid w:val="00773611"/>
    <w:rsid w:val="00776930"/>
    <w:rsid w:val="007777E0"/>
    <w:rsid w:val="007810CD"/>
    <w:rsid w:val="00784707"/>
    <w:rsid w:val="00793D1F"/>
    <w:rsid w:val="007A2588"/>
    <w:rsid w:val="007A406F"/>
    <w:rsid w:val="007C14ED"/>
    <w:rsid w:val="007C3867"/>
    <w:rsid w:val="007C440F"/>
    <w:rsid w:val="007C5BE3"/>
    <w:rsid w:val="007C794E"/>
    <w:rsid w:val="007D07CE"/>
    <w:rsid w:val="007D25BA"/>
    <w:rsid w:val="007D3D53"/>
    <w:rsid w:val="007D4418"/>
    <w:rsid w:val="007E53DF"/>
    <w:rsid w:val="007F1656"/>
    <w:rsid w:val="007F544B"/>
    <w:rsid w:val="007F62B3"/>
    <w:rsid w:val="008013A5"/>
    <w:rsid w:val="00802C79"/>
    <w:rsid w:val="008139EE"/>
    <w:rsid w:val="00817E3A"/>
    <w:rsid w:val="008243AB"/>
    <w:rsid w:val="00834258"/>
    <w:rsid w:val="008377FC"/>
    <w:rsid w:val="008379A7"/>
    <w:rsid w:val="00853010"/>
    <w:rsid w:val="0085412A"/>
    <w:rsid w:val="008612A9"/>
    <w:rsid w:val="008654EA"/>
    <w:rsid w:val="00865FB6"/>
    <w:rsid w:val="008666B8"/>
    <w:rsid w:val="00870D24"/>
    <w:rsid w:val="00873305"/>
    <w:rsid w:val="00882664"/>
    <w:rsid w:val="0088644F"/>
    <w:rsid w:val="008866DC"/>
    <w:rsid w:val="00886C0E"/>
    <w:rsid w:val="0089112D"/>
    <w:rsid w:val="008921EC"/>
    <w:rsid w:val="0089275D"/>
    <w:rsid w:val="00896250"/>
    <w:rsid w:val="008B0A4A"/>
    <w:rsid w:val="008B0A6C"/>
    <w:rsid w:val="008B39DB"/>
    <w:rsid w:val="008D0A1C"/>
    <w:rsid w:val="008D4416"/>
    <w:rsid w:val="008D46D4"/>
    <w:rsid w:val="008D6EE9"/>
    <w:rsid w:val="008E0114"/>
    <w:rsid w:val="008E4C43"/>
    <w:rsid w:val="008E7DA4"/>
    <w:rsid w:val="00910F25"/>
    <w:rsid w:val="009208AE"/>
    <w:rsid w:val="00923C02"/>
    <w:rsid w:val="009267AE"/>
    <w:rsid w:val="00930368"/>
    <w:rsid w:val="0093210A"/>
    <w:rsid w:val="00932D80"/>
    <w:rsid w:val="00945DB1"/>
    <w:rsid w:val="0094792A"/>
    <w:rsid w:val="00954D6E"/>
    <w:rsid w:val="00960FCC"/>
    <w:rsid w:val="00961F20"/>
    <w:rsid w:val="00962A33"/>
    <w:rsid w:val="0097441C"/>
    <w:rsid w:val="00980809"/>
    <w:rsid w:val="00980BA1"/>
    <w:rsid w:val="00987888"/>
    <w:rsid w:val="009A0EA6"/>
    <w:rsid w:val="009A1D47"/>
    <w:rsid w:val="009A56BE"/>
    <w:rsid w:val="009C3149"/>
    <w:rsid w:val="009C5F94"/>
    <w:rsid w:val="009E17CE"/>
    <w:rsid w:val="009E2533"/>
    <w:rsid w:val="009E3DED"/>
    <w:rsid w:val="00A04243"/>
    <w:rsid w:val="00A04CFA"/>
    <w:rsid w:val="00A066B6"/>
    <w:rsid w:val="00A17E99"/>
    <w:rsid w:val="00A2681C"/>
    <w:rsid w:val="00A32FE5"/>
    <w:rsid w:val="00A42D06"/>
    <w:rsid w:val="00A44095"/>
    <w:rsid w:val="00A45BB1"/>
    <w:rsid w:val="00A47B50"/>
    <w:rsid w:val="00A531C6"/>
    <w:rsid w:val="00A536DC"/>
    <w:rsid w:val="00A57082"/>
    <w:rsid w:val="00A70559"/>
    <w:rsid w:val="00A7562C"/>
    <w:rsid w:val="00A7582F"/>
    <w:rsid w:val="00A80746"/>
    <w:rsid w:val="00A80B39"/>
    <w:rsid w:val="00A83606"/>
    <w:rsid w:val="00A853AB"/>
    <w:rsid w:val="00A90196"/>
    <w:rsid w:val="00A92C9F"/>
    <w:rsid w:val="00AB156B"/>
    <w:rsid w:val="00AB3670"/>
    <w:rsid w:val="00AB38DD"/>
    <w:rsid w:val="00AB3D52"/>
    <w:rsid w:val="00AB6F28"/>
    <w:rsid w:val="00AB7381"/>
    <w:rsid w:val="00AC3468"/>
    <w:rsid w:val="00AC42C3"/>
    <w:rsid w:val="00AC5A55"/>
    <w:rsid w:val="00AC67DA"/>
    <w:rsid w:val="00AC7DFC"/>
    <w:rsid w:val="00AC7E09"/>
    <w:rsid w:val="00AF74F6"/>
    <w:rsid w:val="00B0013E"/>
    <w:rsid w:val="00B0383D"/>
    <w:rsid w:val="00B03F14"/>
    <w:rsid w:val="00B0427F"/>
    <w:rsid w:val="00B071DE"/>
    <w:rsid w:val="00B130CC"/>
    <w:rsid w:val="00B140B1"/>
    <w:rsid w:val="00B16CB7"/>
    <w:rsid w:val="00B17723"/>
    <w:rsid w:val="00B24849"/>
    <w:rsid w:val="00B549E5"/>
    <w:rsid w:val="00B6044D"/>
    <w:rsid w:val="00B60E55"/>
    <w:rsid w:val="00B62B49"/>
    <w:rsid w:val="00B65317"/>
    <w:rsid w:val="00B6719D"/>
    <w:rsid w:val="00B8080C"/>
    <w:rsid w:val="00B80EFA"/>
    <w:rsid w:val="00B818E7"/>
    <w:rsid w:val="00B827FB"/>
    <w:rsid w:val="00B82AC7"/>
    <w:rsid w:val="00B85CFA"/>
    <w:rsid w:val="00B8653D"/>
    <w:rsid w:val="00B8758E"/>
    <w:rsid w:val="00B927C6"/>
    <w:rsid w:val="00B933E8"/>
    <w:rsid w:val="00BA2BE8"/>
    <w:rsid w:val="00BB0152"/>
    <w:rsid w:val="00BB13B5"/>
    <w:rsid w:val="00BB153E"/>
    <w:rsid w:val="00BC2FC3"/>
    <w:rsid w:val="00BC6DEE"/>
    <w:rsid w:val="00BD67F0"/>
    <w:rsid w:val="00BE4E4B"/>
    <w:rsid w:val="00BF6136"/>
    <w:rsid w:val="00C051C6"/>
    <w:rsid w:val="00C10747"/>
    <w:rsid w:val="00C149BC"/>
    <w:rsid w:val="00C2028F"/>
    <w:rsid w:val="00C22148"/>
    <w:rsid w:val="00C2272E"/>
    <w:rsid w:val="00C26CAF"/>
    <w:rsid w:val="00C31E1E"/>
    <w:rsid w:val="00C3287A"/>
    <w:rsid w:val="00C45BCC"/>
    <w:rsid w:val="00C55F59"/>
    <w:rsid w:val="00C5722A"/>
    <w:rsid w:val="00C627F7"/>
    <w:rsid w:val="00C64E61"/>
    <w:rsid w:val="00C7118D"/>
    <w:rsid w:val="00C72E66"/>
    <w:rsid w:val="00C7446D"/>
    <w:rsid w:val="00C773EA"/>
    <w:rsid w:val="00C841BE"/>
    <w:rsid w:val="00C87039"/>
    <w:rsid w:val="00CA2B92"/>
    <w:rsid w:val="00CA5845"/>
    <w:rsid w:val="00CA5D69"/>
    <w:rsid w:val="00CB3423"/>
    <w:rsid w:val="00CB4779"/>
    <w:rsid w:val="00CC18F8"/>
    <w:rsid w:val="00CD5E33"/>
    <w:rsid w:val="00CE3FA9"/>
    <w:rsid w:val="00CE5615"/>
    <w:rsid w:val="00D04D1D"/>
    <w:rsid w:val="00D06B36"/>
    <w:rsid w:val="00D06B69"/>
    <w:rsid w:val="00D11171"/>
    <w:rsid w:val="00D20BC5"/>
    <w:rsid w:val="00D22826"/>
    <w:rsid w:val="00D375CC"/>
    <w:rsid w:val="00D442BB"/>
    <w:rsid w:val="00D50DF6"/>
    <w:rsid w:val="00D543B5"/>
    <w:rsid w:val="00D57031"/>
    <w:rsid w:val="00D57D35"/>
    <w:rsid w:val="00D634F8"/>
    <w:rsid w:val="00D67B57"/>
    <w:rsid w:val="00D80196"/>
    <w:rsid w:val="00D83432"/>
    <w:rsid w:val="00D87B32"/>
    <w:rsid w:val="00D87E8B"/>
    <w:rsid w:val="00D93DB9"/>
    <w:rsid w:val="00D9773F"/>
    <w:rsid w:val="00DA2BF3"/>
    <w:rsid w:val="00DA5C03"/>
    <w:rsid w:val="00DB2DF4"/>
    <w:rsid w:val="00DB7361"/>
    <w:rsid w:val="00DC2494"/>
    <w:rsid w:val="00DC3D42"/>
    <w:rsid w:val="00DC7EE1"/>
    <w:rsid w:val="00DD2AB4"/>
    <w:rsid w:val="00DD490C"/>
    <w:rsid w:val="00DE0385"/>
    <w:rsid w:val="00DE250C"/>
    <w:rsid w:val="00DE51EB"/>
    <w:rsid w:val="00DF4697"/>
    <w:rsid w:val="00DF6E7C"/>
    <w:rsid w:val="00E0031D"/>
    <w:rsid w:val="00E03BE1"/>
    <w:rsid w:val="00E056F0"/>
    <w:rsid w:val="00E1262E"/>
    <w:rsid w:val="00E16657"/>
    <w:rsid w:val="00E1665D"/>
    <w:rsid w:val="00E16DC0"/>
    <w:rsid w:val="00E17608"/>
    <w:rsid w:val="00E21BF4"/>
    <w:rsid w:val="00E2613E"/>
    <w:rsid w:val="00E26408"/>
    <w:rsid w:val="00E340D0"/>
    <w:rsid w:val="00E344BF"/>
    <w:rsid w:val="00E53389"/>
    <w:rsid w:val="00E53C36"/>
    <w:rsid w:val="00E54471"/>
    <w:rsid w:val="00E561D7"/>
    <w:rsid w:val="00E6325D"/>
    <w:rsid w:val="00E634F9"/>
    <w:rsid w:val="00E650FE"/>
    <w:rsid w:val="00E65426"/>
    <w:rsid w:val="00E66327"/>
    <w:rsid w:val="00E66EB2"/>
    <w:rsid w:val="00E7338D"/>
    <w:rsid w:val="00E80B8C"/>
    <w:rsid w:val="00E8253E"/>
    <w:rsid w:val="00E84DF2"/>
    <w:rsid w:val="00E8535D"/>
    <w:rsid w:val="00E95122"/>
    <w:rsid w:val="00E965A7"/>
    <w:rsid w:val="00EA5015"/>
    <w:rsid w:val="00EA5168"/>
    <w:rsid w:val="00EB09AB"/>
    <w:rsid w:val="00EB53C1"/>
    <w:rsid w:val="00EB5BE1"/>
    <w:rsid w:val="00EC100A"/>
    <w:rsid w:val="00EC13CE"/>
    <w:rsid w:val="00EC2CEC"/>
    <w:rsid w:val="00EC4A7E"/>
    <w:rsid w:val="00ED612E"/>
    <w:rsid w:val="00EE35D3"/>
    <w:rsid w:val="00F00F45"/>
    <w:rsid w:val="00F049F0"/>
    <w:rsid w:val="00F07FB4"/>
    <w:rsid w:val="00F1353F"/>
    <w:rsid w:val="00F25E8A"/>
    <w:rsid w:val="00F460AE"/>
    <w:rsid w:val="00F460E3"/>
    <w:rsid w:val="00F508E6"/>
    <w:rsid w:val="00F529E0"/>
    <w:rsid w:val="00F53333"/>
    <w:rsid w:val="00F53668"/>
    <w:rsid w:val="00F559B0"/>
    <w:rsid w:val="00F67F3B"/>
    <w:rsid w:val="00F7027B"/>
    <w:rsid w:val="00F708C7"/>
    <w:rsid w:val="00F70A4E"/>
    <w:rsid w:val="00F84C96"/>
    <w:rsid w:val="00F92E9B"/>
    <w:rsid w:val="00FA136B"/>
    <w:rsid w:val="00FA1877"/>
    <w:rsid w:val="00FA348A"/>
    <w:rsid w:val="00FA714B"/>
    <w:rsid w:val="00FA7B51"/>
    <w:rsid w:val="00FC03C0"/>
    <w:rsid w:val="00FC2812"/>
    <w:rsid w:val="00FD27A2"/>
    <w:rsid w:val="00FE38C6"/>
    <w:rsid w:val="00FE750F"/>
    <w:rsid w:val="00FE7F72"/>
    <w:rsid w:val="00FF1AEA"/>
    <w:rsid w:val="00FF39D8"/>
    <w:rsid w:val="00FF684D"/>
    <w:rsid w:val="00FF7DDB"/>
    <w:rsid w:val="02372E3B"/>
    <w:rsid w:val="058FB20F"/>
    <w:rsid w:val="09312BA7"/>
    <w:rsid w:val="0BB124E9"/>
    <w:rsid w:val="0D1FA697"/>
    <w:rsid w:val="0E63610A"/>
    <w:rsid w:val="10EA8EC6"/>
    <w:rsid w:val="1279FFFF"/>
    <w:rsid w:val="130A3952"/>
    <w:rsid w:val="13D3B1A7"/>
    <w:rsid w:val="18903BE0"/>
    <w:rsid w:val="1A7267CD"/>
    <w:rsid w:val="1ADB6618"/>
    <w:rsid w:val="229C8F31"/>
    <w:rsid w:val="2540242A"/>
    <w:rsid w:val="2555968B"/>
    <w:rsid w:val="2718605D"/>
    <w:rsid w:val="279114C7"/>
    <w:rsid w:val="2BD7938F"/>
    <w:rsid w:val="2C107F33"/>
    <w:rsid w:val="2DD86A0D"/>
    <w:rsid w:val="2E3C9408"/>
    <w:rsid w:val="310A3DA3"/>
    <w:rsid w:val="3628CC5C"/>
    <w:rsid w:val="36EA9A16"/>
    <w:rsid w:val="3768AC7E"/>
    <w:rsid w:val="3B4A89EF"/>
    <w:rsid w:val="3BF811E4"/>
    <w:rsid w:val="3C36AD3C"/>
    <w:rsid w:val="3DBF19CE"/>
    <w:rsid w:val="3E191C03"/>
    <w:rsid w:val="3F8758E5"/>
    <w:rsid w:val="3FBF6200"/>
    <w:rsid w:val="3FD7C4D0"/>
    <w:rsid w:val="403A870B"/>
    <w:rsid w:val="4064A267"/>
    <w:rsid w:val="42F8039D"/>
    <w:rsid w:val="4753B7CB"/>
    <w:rsid w:val="47F0B3CC"/>
    <w:rsid w:val="486FF93D"/>
    <w:rsid w:val="48CE39EE"/>
    <w:rsid w:val="4A3BC339"/>
    <w:rsid w:val="4B04804B"/>
    <w:rsid w:val="4DE3269C"/>
    <w:rsid w:val="54EAE195"/>
    <w:rsid w:val="54F8E72A"/>
    <w:rsid w:val="56DC9AC0"/>
    <w:rsid w:val="57C7529B"/>
    <w:rsid w:val="585C97BD"/>
    <w:rsid w:val="59AA62AC"/>
    <w:rsid w:val="59B8BD4A"/>
    <w:rsid w:val="5AB4F3DD"/>
    <w:rsid w:val="5BE24A8F"/>
    <w:rsid w:val="5C2E9DDA"/>
    <w:rsid w:val="5C8E273A"/>
    <w:rsid w:val="5CBCF733"/>
    <w:rsid w:val="5F5FC280"/>
    <w:rsid w:val="5FCFF921"/>
    <w:rsid w:val="60BC0B18"/>
    <w:rsid w:val="641840F5"/>
    <w:rsid w:val="653BD733"/>
    <w:rsid w:val="687448FC"/>
    <w:rsid w:val="690718C6"/>
    <w:rsid w:val="6AE59F71"/>
    <w:rsid w:val="6C6198AF"/>
    <w:rsid w:val="7338402B"/>
    <w:rsid w:val="739A0DEA"/>
    <w:rsid w:val="755AD641"/>
    <w:rsid w:val="778F3D43"/>
    <w:rsid w:val="79213F5D"/>
    <w:rsid w:val="7D1FF5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8986AF8"/>
  <w15:chartTrackingRefBased/>
  <w15:docId w15:val="{F10463B1-DD6A-4AF3-875B-7FBCC69E8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UKEB" w:eastAsiaTheme="minorHAnsi" w:hAnsi="Roboto UKEB" w:cs="Times New Roman"/>
        <w:color w:val="000000" w:themeColor="text1"/>
        <w:sz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7608"/>
  </w:style>
  <w:style w:type="paragraph" w:styleId="Heading1">
    <w:name w:val="heading 1"/>
    <w:aliases w:val="_FRC Numbered Heading 1"/>
    <w:next w:val="FRCBodytext"/>
    <w:link w:val="Heading1Char"/>
    <w:qFormat/>
    <w:rsid w:val="00147E59"/>
    <w:pPr>
      <w:numPr>
        <w:numId w:val="1"/>
      </w:numPr>
      <w:spacing w:after="240"/>
      <w:jc w:val="both"/>
      <w:outlineLvl w:val="0"/>
    </w:pPr>
    <w:rPr>
      <w:rFonts w:ascii="Arial" w:eastAsiaTheme="majorEastAsia" w:hAnsi="Arial" w:cstheme="majorBidi"/>
      <w:b/>
      <w:bCs/>
      <w:sz w:val="28"/>
      <w:szCs w:val="28"/>
      <w:lang w:val="en-GB"/>
    </w:rPr>
  </w:style>
  <w:style w:type="paragraph" w:styleId="Heading2">
    <w:name w:val="heading 2"/>
    <w:aliases w:val="_FRC Numbered Heading 2"/>
    <w:basedOn w:val="Heading1"/>
    <w:next w:val="FRCBodytext"/>
    <w:link w:val="Heading2Char"/>
    <w:unhideWhenUsed/>
    <w:qFormat/>
    <w:rsid w:val="00147E59"/>
    <w:pPr>
      <w:numPr>
        <w:ilvl w:val="1"/>
      </w:numPr>
      <w:outlineLvl w:val="1"/>
    </w:pPr>
    <w:rPr>
      <w:bCs w:val="0"/>
      <w:sz w:val="24"/>
      <w:szCs w:val="26"/>
    </w:rPr>
  </w:style>
  <w:style w:type="paragraph" w:styleId="Heading3">
    <w:name w:val="heading 3"/>
    <w:aliases w:val="_FRC Numbered Heading 3"/>
    <w:basedOn w:val="Heading2"/>
    <w:next w:val="FRCBodytext"/>
    <w:link w:val="Heading3Char"/>
    <w:autoRedefine/>
    <w:qFormat/>
    <w:rsid w:val="00147E59"/>
    <w:pPr>
      <w:numPr>
        <w:ilvl w:val="2"/>
      </w:numPr>
      <w:outlineLvl w:val="2"/>
    </w:pPr>
    <w:rPr>
      <w:rFonts w:cs="Arial"/>
      <w:bCs/>
      <w:i/>
    </w:rPr>
  </w:style>
  <w:style w:type="paragraph" w:styleId="Heading4">
    <w:name w:val="heading 4"/>
    <w:aliases w:val="_FRC Numbered Heading 4"/>
    <w:basedOn w:val="Heading3"/>
    <w:next w:val="FRCBodytext"/>
    <w:link w:val="Heading4Char"/>
    <w:unhideWhenUsed/>
    <w:qFormat/>
    <w:rsid w:val="00147E59"/>
    <w:pPr>
      <w:numPr>
        <w:ilvl w:val="3"/>
      </w:numPr>
      <w:outlineLvl w:val="3"/>
    </w:pPr>
    <w:rPr>
      <w:rFonts w:cstheme="majorBidi"/>
      <w:bCs w:val="0"/>
      <w:i w:val="0"/>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1">
    <w:name w:val="Body Text1"/>
    <w:basedOn w:val="Normal"/>
    <w:qFormat/>
    <w:rsid w:val="00147E59"/>
    <w:pPr>
      <w:spacing w:line="320" w:lineRule="atLeast"/>
      <w:jc w:val="both"/>
    </w:pPr>
    <w:rPr>
      <w:rFonts w:cs="Arial"/>
      <w:lang w:val="en-GB"/>
    </w:rPr>
  </w:style>
  <w:style w:type="paragraph" w:customStyle="1" w:styleId="FRCNumberedparagraphs">
    <w:name w:val="_FRC Numbered paragraphs"/>
    <w:basedOn w:val="Normal"/>
    <w:qFormat/>
    <w:rsid w:val="00147E59"/>
    <w:pPr>
      <w:numPr>
        <w:numId w:val="2"/>
      </w:numPr>
      <w:spacing w:after="240"/>
      <w:jc w:val="both"/>
    </w:pPr>
    <w:rPr>
      <w:rFonts w:eastAsia="Times New Roman"/>
      <w:szCs w:val="24"/>
      <w:lang w:val="en-GB"/>
    </w:rPr>
  </w:style>
  <w:style w:type="paragraph" w:customStyle="1" w:styleId="FRCAlphanumbering">
    <w:name w:val="_FRC Alpha numbering"/>
    <w:basedOn w:val="FRCNumberedparagraphs"/>
    <w:qFormat/>
    <w:rsid w:val="00147E59"/>
    <w:pPr>
      <w:numPr>
        <w:numId w:val="3"/>
      </w:numPr>
      <w:contextualSpacing/>
    </w:pPr>
  </w:style>
  <w:style w:type="paragraph" w:customStyle="1" w:styleId="FRCBodytext">
    <w:name w:val="_FRC Body text"/>
    <w:qFormat/>
    <w:rsid w:val="00147E59"/>
    <w:pPr>
      <w:spacing w:after="240"/>
      <w:jc w:val="both"/>
    </w:pPr>
    <w:rPr>
      <w:rFonts w:ascii="Arial" w:eastAsia="Times New Roman" w:hAnsi="Arial" w:cs="Arial"/>
      <w:szCs w:val="28"/>
      <w:lang w:val="en-GB"/>
    </w:rPr>
  </w:style>
  <w:style w:type="paragraph" w:customStyle="1" w:styleId="FRCBodytextbold">
    <w:name w:val="_FRC Body text + bold"/>
    <w:basedOn w:val="FRCBodytext"/>
    <w:qFormat/>
    <w:rsid w:val="00147E59"/>
    <w:rPr>
      <w:b/>
    </w:rPr>
  </w:style>
  <w:style w:type="paragraph" w:customStyle="1" w:styleId="FRCBodytextitalics">
    <w:name w:val="_FRC Body text + italics"/>
    <w:basedOn w:val="FRCBodytext"/>
    <w:qFormat/>
    <w:rsid w:val="00147E59"/>
    <w:rPr>
      <w:i/>
    </w:rPr>
  </w:style>
  <w:style w:type="paragraph" w:customStyle="1" w:styleId="FRCBullet">
    <w:name w:val="_FRC Bullet"/>
    <w:qFormat/>
    <w:rsid w:val="00147E59"/>
    <w:pPr>
      <w:numPr>
        <w:numId w:val="4"/>
      </w:numPr>
      <w:spacing w:after="240"/>
      <w:contextualSpacing/>
      <w:jc w:val="both"/>
    </w:pPr>
    <w:rPr>
      <w:rFonts w:ascii="Arial" w:eastAsia="Times New Roman" w:hAnsi="Arial" w:cs="Arial"/>
      <w:bCs/>
      <w:szCs w:val="28"/>
      <w:lang w:val="en-GB"/>
    </w:rPr>
  </w:style>
  <w:style w:type="paragraph" w:customStyle="1" w:styleId="FRCBulletbold">
    <w:name w:val="_FRC Bullet + bold"/>
    <w:qFormat/>
    <w:rsid w:val="00147E59"/>
    <w:pPr>
      <w:numPr>
        <w:numId w:val="5"/>
      </w:numPr>
      <w:spacing w:after="240"/>
      <w:contextualSpacing/>
      <w:jc w:val="both"/>
    </w:pPr>
    <w:rPr>
      <w:rFonts w:ascii="Arial" w:eastAsia="Times New Roman" w:hAnsi="Arial" w:cs="Arial"/>
      <w:b/>
      <w:bCs/>
      <w:szCs w:val="28"/>
      <w:lang w:val="en-GB"/>
    </w:rPr>
  </w:style>
  <w:style w:type="paragraph" w:customStyle="1" w:styleId="FRCBulletSub">
    <w:name w:val="_FRC Bullet Sub"/>
    <w:qFormat/>
    <w:rsid w:val="00147E59"/>
    <w:pPr>
      <w:numPr>
        <w:numId w:val="6"/>
      </w:numPr>
      <w:spacing w:after="240"/>
      <w:contextualSpacing/>
      <w:jc w:val="both"/>
    </w:pPr>
    <w:rPr>
      <w:rFonts w:ascii="Arial" w:eastAsia="Times New Roman" w:hAnsi="Arial" w:cs="Arial"/>
      <w:szCs w:val="28"/>
    </w:rPr>
  </w:style>
  <w:style w:type="paragraph" w:customStyle="1" w:styleId="FRCCoverdate">
    <w:name w:val="_FRC Cover date"/>
    <w:qFormat/>
    <w:rsid w:val="00147E59"/>
    <w:pPr>
      <w:keepNext/>
      <w:pBdr>
        <w:bottom w:val="single" w:sz="8" w:space="1" w:color="365F91"/>
      </w:pBdr>
      <w:spacing w:after="240" w:line="320" w:lineRule="atLeast"/>
    </w:pPr>
    <w:rPr>
      <w:rFonts w:ascii="Arial" w:eastAsia="Times New Roman" w:hAnsi="Arial" w:cs="Arial"/>
      <w:b/>
      <w:bCs/>
      <w:color w:val="000000"/>
      <w:sz w:val="24"/>
      <w:szCs w:val="26"/>
      <w:lang w:val="en-GB"/>
    </w:rPr>
  </w:style>
  <w:style w:type="paragraph" w:customStyle="1" w:styleId="FRCCoversubtitle">
    <w:name w:val="_FRC Cover sub title"/>
    <w:qFormat/>
    <w:rsid w:val="00147E59"/>
    <w:rPr>
      <w:rFonts w:ascii="Arial" w:eastAsia="Times New Roman" w:hAnsi="Arial" w:cs="Arial"/>
      <w:b/>
      <w:sz w:val="32"/>
      <w:szCs w:val="28"/>
      <w:lang w:val="en-GB"/>
    </w:rPr>
  </w:style>
  <w:style w:type="paragraph" w:customStyle="1" w:styleId="FRCCovertitle">
    <w:name w:val="_FRC Cover title"/>
    <w:qFormat/>
    <w:rsid w:val="00147E59"/>
    <w:rPr>
      <w:rFonts w:ascii="Arial" w:eastAsia="Times New Roman" w:hAnsi="Arial"/>
      <w:b/>
      <w:bCs/>
      <w:sz w:val="40"/>
      <w:lang w:val="en-GB"/>
    </w:rPr>
  </w:style>
  <w:style w:type="paragraph" w:customStyle="1" w:styleId="FRCFooterOdd">
    <w:name w:val="_FRC Footer Odd"/>
    <w:basedOn w:val="Footer"/>
    <w:qFormat/>
    <w:rsid w:val="00147E59"/>
    <w:pPr>
      <w:tabs>
        <w:tab w:val="clear" w:pos="4513"/>
        <w:tab w:val="clear" w:pos="9026"/>
        <w:tab w:val="center" w:pos="4153"/>
        <w:tab w:val="right" w:pos="9072"/>
      </w:tabs>
      <w:spacing w:after="240" w:line="320" w:lineRule="exact"/>
      <w:jc w:val="right"/>
    </w:pPr>
    <w:rPr>
      <w:rFonts w:eastAsia="Times New Roman" w:cs="Arial"/>
      <w:sz w:val="18"/>
      <w:szCs w:val="24"/>
      <w:lang w:val="en-GB"/>
    </w:rPr>
  </w:style>
  <w:style w:type="paragraph" w:styleId="Footer">
    <w:name w:val="footer"/>
    <w:basedOn w:val="Normal"/>
    <w:link w:val="FooterChar"/>
    <w:uiPriority w:val="99"/>
    <w:unhideWhenUsed/>
    <w:rsid w:val="00A44095"/>
    <w:pPr>
      <w:tabs>
        <w:tab w:val="center" w:pos="4513"/>
        <w:tab w:val="right" w:pos="9026"/>
      </w:tabs>
    </w:pPr>
  </w:style>
  <w:style w:type="character" w:customStyle="1" w:styleId="FooterChar">
    <w:name w:val="Footer Char"/>
    <w:basedOn w:val="DefaultParagraphFont"/>
    <w:link w:val="Footer"/>
    <w:uiPriority w:val="99"/>
    <w:rsid w:val="00A44095"/>
  </w:style>
  <w:style w:type="paragraph" w:customStyle="1" w:styleId="FRCFooterEven">
    <w:name w:val="_FRC Footer Even"/>
    <w:basedOn w:val="FRCFooterOdd"/>
    <w:qFormat/>
    <w:rsid w:val="00147E59"/>
    <w:pPr>
      <w:jc w:val="left"/>
    </w:pPr>
  </w:style>
  <w:style w:type="paragraph" w:customStyle="1" w:styleId="FRCGreybackground">
    <w:name w:val="_FRC Grey background"/>
    <w:basedOn w:val="FRCBodytext"/>
    <w:qFormat/>
    <w:rsid w:val="00147E59"/>
    <w:pPr>
      <w:keepLines/>
      <w:pBdr>
        <w:top w:val="single" w:sz="12" w:space="4" w:color="000000" w:themeColor="text1"/>
        <w:left w:val="single" w:sz="12" w:space="4" w:color="000000" w:themeColor="text1"/>
        <w:bottom w:val="single" w:sz="12" w:space="4" w:color="000000" w:themeColor="text1"/>
        <w:right w:val="single" w:sz="12" w:space="4" w:color="000000" w:themeColor="text1"/>
      </w:pBdr>
      <w:shd w:val="clear" w:color="auto" w:fill="DEDEDE"/>
      <w:ind w:left="170" w:right="170"/>
    </w:pPr>
  </w:style>
  <w:style w:type="paragraph" w:customStyle="1" w:styleId="FRCHeading1">
    <w:name w:val="_FRC Heading 1"/>
    <w:basedOn w:val="FRCBodytext"/>
    <w:next w:val="Normal"/>
    <w:qFormat/>
    <w:rsid w:val="00147E59"/>
    <w:rPr>
      <w:b/>
      <w:bCs/>
      <w:sz w:val="28"/>
      <w:szCs w:val="26"/>
    </w:rPr>
  </w:style>
  <w:style w:type="paragraph" w:customStyle="1" w:styleId="FRCHeading2">
    <w:name w:val="_FRC Heading 2"/>
    <w:basedOn w:val="FRCBodytext"/>
    <w:next w:val="Normal"/>
    <w:qFormat/>
    <w:rsid w:val="00147E59"/>
    <w:rPr>
      <w:b/>
      <w:bCs/>
      <w:sz w:val="24"/>
    </w:rPr>
  </w:style>
  <w:style w:type="paragraph" w:customStyle="1" w:styleId="FRCHeading3">
    <w:name w:val="_FRC Heading 3"/>
    <w:next w:val="FRCBodytext"/>
    <w:qFormat/>
    <w:rsid w:val="00147E59"/>
    <w:pPr>
      <w:spacing w:after="240"/>
      <w:jc w:val="both"/>
    </w:pPr>
    <w:rPr>
      <w:rFonts w:ascii="Arial" w:eastAsia="Times New Roman" w:hAnsi="Arial" w:cs="Arial"/>
      <w:b/>
      <w:i/>
      <w:sz w:val="24"/>
      <w:szCs w:val="28"/>
      <w:lang w:val="en-GB"/>
    </w:rPr>
  </w:style>
  <w:style w:type="paragraph" w:customStyle="1" w:styleId="FRCHeading4">
    <w:name w:val="_FRC Heading 4"/>
    <w:basedOn w:val="FRCHeading3"/>
    <w:qFormat/>
    <w:rsid w:val="00147E59"/>
    <w:rPr>
      <w:i w:val="0"/>
      <w:sz w:val="22"/>
    </w:rPr>
  </w:style>
  <w:style w:type="paragraph" w:customStyle="1" w:styleId="FRCHeading5">
    <w:name w:val="_FRC Heading 5"/>
    <w:basedOn w:val="FRCHeading4"/>
    <w:qFormat/>
    <w:rsid w:val="00147E59"/>
    <w:rPr>
      <w:b w:val="0"/>
      <w:i/>
    </w:rPr>
  </w:style>
  <w:style w:type="paragraph" w:customStyle="1" w:styleId="FRCParagraphIndent">
    <w:name w:val="_FRC Paragraph Indent"/>
    <w:basedOn w:val="Normal"/>
    <w:qFormat/>
    <w:rsid w:val="00147E59"/>
    <w:pPr>
      <w:spacing w:after="240"/>
      <w:ind w:left="567"/>
      <w:jc w:val="both"/>
    </w:pPr>
    <w:rPr>
      <w:rFonts w:eastAsia="Times New Roman"/>
      <w:szCs w:val="24"/>
      <w:lang w:val="en-GB"/>
    </w:rPr>
  </w:style>
  <w:style w:type="paragraph" w:customStyle="1" w:styleId="FRCRomannumbering">
    <w:name w:val="_FRC Roman numbering"/>
    <w:basedOn w:val="FRCAlphanumbering"/>
    <w:qFormat/>
    <w:rsid w:val="00147E59"/>
    <w:pPr>
      <w:numPr>
        <w:numId w:val="7"/>
      </w:numPr>
    </w:pPr>
  </w:style>
  <w:style w:type="paragraph" w:customStyle="1" w:styleId="FRCTableText">
    <w:name w:val="_FRC Table Text"/>
    <w:basedOn w:val="Normal"/>
    <w:qFormat/>
    <w:rsid w:val="00147E59"/>
    <w:pPr>
      <w:keepNext/>
      <w:keepLines/>
      <w:jc w:val="center"/>
    </w:pPr>
    <w:rPr>
      <w:rFonts w:eastAsia="Times New Roman"/>
      <w:sz w:val="18"/>
      <w:szCs w:val="24"/>
      <w:lang w:val="en-GB"/>
    </w:rPr>
  </w:style>
  <w:style w:type="paragraph" w:styleId="Caption">
    <w:name w:val="caption"/>
    <w:aliases w:val="_FRC Caption"/>
    <w:basedOn w:val="Normal"/>
    <w:next w:val="Normal"/>
    <w:unhideWhenUsed/>
    <w:qFormat/>
    <w:rsid w:val="00147E59"/>
    <w:pPr>
      <w:spacing w:before="240" w:after="240" w:line="320" w:lineRule="exact"/>
      <w:ind w:right="567"/>
      <w:jc w:val="right"/>
    </w:pPr>
    <w:rPr>
      <w:rFonts w:eastAsia="Times New Roman"/>
      <w:b/>
      <w:bCs/>
      <w:i/>
      <w:sz w:val="18"/>
      <w:szCs w:val="18"/>
      <w:lang w:val="en-GB"/>
    </w:rPr>
  </w:style>
  <w:style w:type="paragraph" w:styleId="FootnoteText">
    <w:name w:val="footnote text"/>
    <w:aliases w:val="_FRC Footnote Text"/>
    <w:basedOn w:val="Normal"/>
    <w:link w:val="FootnoteTextChar"/>
    <w:rsid w:val="00F84C96"/>
    <w:pPr>
      <w:spacing w:after="240" w:line="320" w:lineRule="exact"/>
    </w:pPr>
    <w:rPr>
      <w:rFonts w:eastAsia="Times New Roman"/>
      <w:sz w:val="18"/>
      <w:lang w:val="en-GB"/>
    </w:rPr>
  </w:style>
  <w:style w:type="character" w:customStyle="1" w:styleId="FootnoteTextChar">
    <w:name w:val="Footnote Text Char"/>
    <w:aliases w:val="_FRC Footnote Text Char"/>
    <w:basedOn w:val="DefaultParagraphFont"/>
    <w:link w:val="FootnoteText"/>
    <w:rsid w:val="00F84C96"/>
    <w:rPr>
      <w:rFonts w:ascii="Arial" w:eastAsia="Times New Roman" w:hAnsi="Arial"/>
      <w:sz w:val="18"/>
      <w:lang w:val="en-GB"/>
    </w:rPr>
  </w:style>
  <w:style w:type="character" w:customStyle="1" w:styleId="Heading1Char">
    <w:name w:val="Heading 1 Char"/>
    <w:aliases w:val="_FRC Numbered Heading 1 Char"/>
    <w:basedOn w:val="DefaultParagraphFont"/>
    <w:link w:val="Heading1"/>
    <w:rsid w:val="00147E59"/>
    <w:rPr>
      <w:rFonts w:ascii="Arial" w:eastAsiaTheme="majorEastAsia" w:hAnsi="Arial" w:cstheme="majorBidi"/>
      <w:b/>
      <w:bCs/>
      <w:sz w:val="28"/>
      <w:szCs w:val="28"/>
      <w:lang w:val="en-GB"/>
    </w:rPr>
  </w:style>
  <w:style w:type="character" w:customStyle="1" w:styleId="Heading2Char">
    <w:name w:val="Heading 2 Char"/>
    <w:aliases w:val="_FRC Numbered Heading 2 Char"/>
    <w:basedOn w:val="DefaultParagraphFont"/>
    <w:link w:val="Heading2"/>
    <w:rsid w:val="00147E59"/>
    <w:rPr>
      <w:rFonts w:ascii="Arial" w:eastAsiaTheme="majorEastAsia" w:hAnsi="Arial" w:cstheme="majorBidi"/>
      <w:b/>
      <w:sz w:val="24"/>
      <w:szCs w:val="26"/>
      <w:lang w:val="en-GB"/>
    </w:rPr>
  </w:style>
  <w:style w:type="character" w:customStyle="1" w:styleId="Heading3Char">
    <w:name w:val="Heading 3 Char"/>
    <w:aliases w:val="_FRC Numbered Heading 3 Char"/>
    <w:basedOn w:val="DefaultParagraphFont"/>
    <w:link w:val="Heading3"/>
    <w:rsid w:val="00147E59"/>
    <w:rPr>
      <w:rFonts w:ascii="Arial" w:eastAsiaTheme="majorEastAsia" w:hAnsi="Arial" w:cs="Arial"/>
      <w:b/>
      <w:bCs/>
      <w:i/>
      <w:sz w:val="24"/>
      <w:szCs w:val="26"/>
      <w:lang w:val="en-GB"/>
    </w:rPr>
  </w:style>
  <w:style w:type="character" w:customStyle="1" w:styleId="Heading4Char">
    <w:name w:val="Heading 4 Char"/>
    <w:aliases w:val="_FRC Numbered Heading 4 Char"/>
    <w:basedOn w:val="DefaultParagraphFont"/>
    <w:link w:val="Heading4"/>
    <w:rsid w:val="00147E59"/>
    <w:rPr>
      <w:rFonts w:ascii="Arial" w:eastAsiaTheme="majorEastAsia" w:hAnsi="Arial" w:cstheme="majorBidi"/>
      <w:b/>
      <w:iCs/>
      <w:szCs w:val="26"/>
      <w:lang w:val="en-GB"/>
    </w:rPr>
  </w:style>
  <w:style w:type="paragraph" w:styleId="TOC1">
    <w:name w:val="toc 1"/>
    <w:basedOn w:val="Normal"/>
    <w:next w:val="Normal"/>
    <w:uiPriority w:val="39"/>
    <w:rsid w:val="00F84C96"/>
    <w:pPr>
      <w:tabs>
        <w:tab w:val="left" w:pos="720"/>
        <w:tab w:val="right" w:leader="dot" w:pos="9015"/>
      </w:tabs>
      <w:spacing w:before="240" w:after="240"/>
    </w:pPr>
    <w:rPr>
      <w:rFonts w:eastAsia="Times New Roman"/>
      <w:szCs w:val="24"/>
      <w:lang w:val="en-GB"/>
    </w:rPr>
  </w:style>
  <w:style w:type="paragraph" w:styleId="TOC2">
    <w:name w:val="toc 2"/>
    <w:basedOn w:val="Normal"/>
    <w:next w:val="Normal"/>
    <w:uiPriority w:val="39"/>
    <w:rsid w:val="00F84C96"/>
    <w:pPr>
      <w:tabs>
        <w:tab w:val="right" w:leader="dot" w:pos="9062"/>
      </w:tabs>
      <w:spacing w:after="240" w:line="320" w:lineRule="atLeast"/>
      <w:ind w:left="238"/>
    </w:pPr>
    <w:rPr>
      <w:rFonts w:eastAsia="Times New Roman"/>
      <w:szCs w:val="24"/>
      <w:lang w:val="en-GB"/>
    </w:rPr>
  </w:style>
  <w:style w:type="paragraph" w:styleId="TOC3">
    <w:name w:val="toc 3"/>
    <w:basedOn w:val="Normal"/>
    <w:next w:val="Normal"/>
    <w:uiPriority w:val="39"/>
    <w:rsid w:val="00F84C96"/>
    <w:pPr>
      <w:tabs>
        <w:tab w:val="right" w:leader="dot" w:pos="9062"/>
      </w:tabs>
      <w:spacing w:after="240" w:line="320" w:lineRule="atLeast"/>
      <w:ind w:left="482"/>
    </w:pPr>
    <w:rPr>
      <w:rFonts w:eastAsia="Times New Roman"/>
      <w:szCs w:val="24"/>
      <w:lang w:val="en-GB"/>
    </w:rPr>
  </w:style>
  <w:style w:type="paragraph" w:customStyle="1" w:styleId="FRCNumberedParaLevel1">
    <w:name w:val="_FRC Numbered Para Level 1"/>
    <w:basedOn w:val="Normal"/>
    <w:qFormat/>
    <w:rsid w:val="00147E59"/>
    <w:pPr>
      <w:numPr>
        <w:numId w:val="8"/>
      </w:numPr>
      <w:spacing w:after="240"/>
      <w:jc w:val="both"/>
    </w:pPr>
    <w:rPr>
      <w:rFonts w:eastAsia="Times New Roman"/>
      <w:b/>
      <w:sz w:val="28"/>
      <w:szCs w:val="24"/>
      <w:lang w:val="en-GB"/>
    </w:rPr>
  </w:style>
  <w:style w:type="paragraph" w:customStyle="1" w:styleId="FRCNumberedParaLevel2">
    <w:name w:val="_FRC Numbered Para Level 2"/>
    <w:basedOn w:val="FRCBodytext"/>
    <w:qFormat/>
    <w:rsid w:val="00147E59"/>
    <w:pPr>
      <w:numPr>
        <w:ilvl w:val="1"/>
        <w:numId w:val="8"/>
      </w:numPr>
    </w:pPr>
    <w:rPr>
      <w:szCs w:val="24"/>
    </w:rPr>
  </w:style>
  <w:style w:type="table" w:styleId="TableGrid">
    <w:name w:val="Table Grid"/>
    <w:basedOn w:val="TableNormal"/>
    <w:uiPriority w:val="59"/>
    <w:rsid w:val="00E176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bered list"/>
    <w:basedOn w:val="Normal"/>
    <w:uiPriority w:val="34"/>
    <w:qFormat/>
    <w:rsid w:val="00E17608"/>
    <w:pPr>
      <w:ind w:left="720"/>
      <w:contextualSpacing/>
    </w:pPr>
  </w:style>
  <w:style w:type="paragraph" w:styleId="Header">
    <w:name w:val="header"/>
    <w:basedOn w:val="Normal"/>
    <w:link w:val="HeaderChar"/>
    <w:uiPriority w:val="99"/>
    <w:unhideWhenUsed/>
    <w:rsid w:val="003858E3"/>
    <w:pPr>
      <w:tabs>
        <w:tab w:val="center" w:pos="4513"/>
        <w:tab w:val="right" w:pos="9026"/>
      </w:tabs>
    </w:pPr>
  </w:style>
  <w:style w:type="character" w:customStyle="1" w:styleId="HeaderChar">
    <w:name w:val="Header Char"/>
    <w:basedOn w:val="DefaultParagraphFont"/>
    <w:link w:val="Header"/>
    <w:uiPriority w:val="99"/>
    <w:rsid w:val="003858E3"/>
  </w:style>
  <w:style w:type="paragraph" w:styleId="CommentText">
    <w:name w:val="annotation text"/>
    <w:basedOn w:val="Normal"/>
    <w:link w:val="CommentTextChar"/>
    <w:uiPriority w:val="99"/>
    <w:semiHidden/>
    <w:unhideWhenUsed/>
    <w:rPr>
      <w:sz w:val="20"/>
    </w:rPr>
  </w:style>
  <w:style w:type="character" w:customStyle="1" w:styleId="CommentTextChar">
    <w:name w:val="Comment Text Char"/>
    <w:basedOn w:val="DefaultParagraphFont"/>
    <w:link w:val="CommentText"/>
    <w:uiPriority w:val="99"/>
    <w:semiHidden/>
    <w:rPr>
      <w:sz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F74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74F6"/>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AC42C3"/>
    <w:rPr>
      <w:b/>
      <w:bCs/>
    </w:rPr>
  </w:style>
  <w:style w:type="character" w:customStyle="1" w:styleId="CommentSubjectChar">
    <w:name w:val="Comment Subject Char"/>
    <w:basedOn w:val="CommentTextChar"/>
    <w:link w:val="CommentSubject"/>
    <w:uiPriority w:val="99"/>
    <w:semiHidden/>
    <w:rsid w:val="00AC42C3"/>
    <w:rPr>
      <w:b/>
      <w:bCs/>
      <w:sz w:val="20"/>
    </w:rPr>
  </w:style>
  <w:style w:type="paragraph" w:styleId="Revision">
    <w:name w:val="Revision"/>
    <w:hidden/>
    <w:uiPriority w:val="99"/>
    <w:semiHidden/>
    <w:rsid w:val="002042CA"/>
  </w:style>
  <w:style w:type="character" w:styleId="FootnoteReference">
    <w:name w:val="footnote reference"/>
    <w:basedOn w:val="DefaultParagraphFont"/>
    <w:uiPriority w:val="99"/>
    <w:semiHidden/>
    <w:unhideWhenUsed/>
    <w:rsid w:val="003A3DE0"/>
    <w:rPr>
      <w:vertAlign w:val="superscript"/>
    </w:rPr>
  </w:style>
  <w:style w:type="character" w:styleId="Hyperlink">
    <w:name w:val="Hyperlink"/>
    <w:basedOn w:val="DefaultParagraphFont"/>
    <w:uiPriority w:val="99"/>
    <w:unhideWhenUsed/>
    <w:rsid w:val="00D634F8"/>
    <w:rPr>
      <w:color w:val="0000FF" w:themeColor="hyperlink"/>
      <w:u w:val="single"/>
    </w:rPr>
  </w:style>
  <w:style w:type="character" w:styleId="UnresolvedMention">
    <w:name w:val="Unresolved Mention"/>
    <w:basedOn w:val="DefaultParagraphFont"/>
    <w:uiPriority w:val="99"/>
    <w:semiHidden/>
    <w:unhideWhenUsed/>
    <w:rsid w:val="00D634F8"/>
    <w:rPr>
      <w:color w:val="605E5C"/>
      <w:shd w:val="clear" w:color="auto" w:fill="E1DFDD"/>
    </w:rPr>
  </w:style>
  <w:style w:type="table" w:styleId="PlainTable1">
    <w:name w:val="Plain Table 1"/>
    <w:basedOn w:val="TableNormal"/>
    <w:uiPriority w:val="41"/>
    <w:rsid w:val="00551AB5"/>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2">
    <w:name w:val="Grid Table 4 Accent 2"/>
    <w:basedOn w:val="TableNormal"/>
    <w:uiPriority w:val="49"/>
    <w:rsid w:val="00551AB5"/>
    <w:tblPr>
      <w:tblStyleRowBandSize w:val="1"/>
      <w:tblStyleColBandSize w:val="1"/>
      <w:tblBorders>
        <w:top w:val="single" w:sz="4" w:space="0" w:color="98E2D8" w:themeColor="accent2" w:themeTint="99"/>
        <w:left w:val="single" w:sz="4" w:space="0" w:color="98E2D8" w:themeColor="accent2" w:themeTint="99"/>
        <w:bottom w:val="single" w:sz="4" w:space="0" w:color="98E2D8" w:themeColor="accent2" w:themeTint="99"/>
        <w:right w:val="single" w:sz="4" w:space="0" w:color="98E2D8" w:themeColor="accent2" w:themeTint="99"/>
        <w:insideH w:val="single" w:sz="4" w:space="0" w:color="98E2D8" w:themeColor="accent2" w:themeTint="99"/>
        <w:insideV w:val="single" w:sz="4" w:space="0" w:color="98E2D8" w:themeColor="accent2" w:themeTint="99"/>
      </w:tblBorders>
    </w:tblPr>
    <w:tblStylePr w:type="firstRow">
      <w:rPr>
        <w:b/>
        <w:bCs/>
        <w:color w:val="FFFFFF" w:themeColor="background1"/>
      </w:rPr>
      <w:tblPr/>
      <w:tcPr>
        <w:tcBorders>
          <w:top w:val="single" w:sz="4" w:space="0" w:color="54CFBF" w:themeColor="accent2"/>
          <w:left w:val="single" w:sz="4" w:space="0" w:color="54CFBF" w:themeColor="accent2"/>
          <w:bottom w:val="single" w:sz="4" w:space="0" w:color="54CFBF" w:themeColor="accent2"/>
          <w:right w:val="single" w:sz="4" w:space="0" w:color="54CFBF" w:themeColor="accent2"/>
          <w:insideH w:val="nil"/>
          <w:insideV w:val="nil"/>
        </w:tcBorders>
        <w:shd w:val="clear" w:color="auto" w:fill="54CFBF" w:themeFill="accent2"/>
      </w:tcPr>
    </w:tblStylePr>
    <w:tblStylePr w:type="lastRow">
      <w:rPr>
        <w:b/>
        <w:bCs/>
      </w:rPr>
      <w:tblPr/>
      <w:tcPr>
        <w:tcBorders>
          <w:top w:val="double" w:sz="4" w:space="0" w:color="54CFBF" w:themeColor="accent2"/>
        </w:tcBorders>
      </w:tcPr>
    </w:tblStylePr>
    <w:tblStylePr w:type="firstCol">
      <w:rPr>
        <w:b/>
        <w:bCs/>
      </w:rPr>
    </w:tblStylePr>
    <w:tblStylePr w:type="lastCol">
      <w:rPr>
        <w:b/>
        <w:bCs/>
      </w:rPr>
    </w:tblStylePr>
    <w:tblStylePr w:type="band1Vert">
      <w:tblPr/>
      <w:tcPr>
        <w:shd w:val="clear" w:color="auto" w:fill="DCF5F2" w:themeFill="accent2" w:themeFillTint="33"/>
      </w:tcPr>
    </w:tblStylePr>
    <w:tblStylePr w:type="band1Horz">
      <w:tblPr/>
      <w:tcPr>
        <w:shd w:val="clear" w:color="auto" w:fill="DCF5F2" w:themeFill="accent2" w:themeFillTint="33"/>
      </w:tcPr>
    </w:tblStylePr>
  </w:style>
  <w:style w:type="table" w:styleId="GridTable1Light-Accent5">
    <w:name w:val="Grid Table 1 Light Accent 5"/>
    <w:basedOn w:val="TableNormal"/>
    <w:uiPriority w:val="46"/>
    <w:rsid w:val="005A3D59"/>
    <w:tblPr>
      <w:tblStyleRowBandSize w:val="1"/>
      <w:tblStyleColBandSize w:val="1"/>
      <w:tblBorders>
        <w:top w:val="single" w:sz="4" w:space="0" w:color="BAEBE5" w:themeColor="accent5" w:themeTint="66"/>
        <w:left w:val="single" w:sz="4" w:space="0" w:color="BAEBE5" w:themeColor="accent5" w:themeTint="66"/>
        <w:bottom w:val="single" w:sz="4" w:space="0" w:color="BAEBE5" w:themeColor="accent5" w:themeTint="66"/>
        <w:right w:val="single" w:sz="4" w:space="0" w:color="BAEBE5" w:themeColor="accent5" w:themeTint="66"/>
        <w:insideH w:val="single" w:sz="4" w:space="0" w:color="BAEBE5" w:themeColor="accent5" w:themeTint="66"/>
        <w:insideV w:val="single" w:sz="4" w:space="0" w:color="BAEBE5" w:themeColor="accent5" w:themeTint="66"/>
      </w:tblBorders>
    </w:tblPr>
    <w:tblStylePr w:type="firstRow">
      <w:rPr>
        <w:b/>
        <w:bCs/>
      </w:rPr>
      <w:tblPr/>
      <w:tcPr>
        <w:tcBorders>
          <w:bottom w:val="single" w:sz="12" w:space="0" w:color="98E2D8" w:themeColor="accent5" w:themeTint="99"/>
        </w:tcBorders>
      </w:tcPr>
    </w:tblStylePr>
    <w:tblStylePr w:type="lastRow">
      <w:rPr>
        <w:b/>
        <w:bCs/>
      </w:rPr>
      <w:tblPr/>
      <w:tcPr>
        <w:tcBorders>
          <w:top w:val="double" w:sz="2" w:space="0" w:color="98E2D8" w:themeColor="accent5" w:themeTint="99"/>
        </w:tcBorders>
      </w:tcPr>
    </w:tblStylePr>
    <w:tblStylePr w:type="firstCol">
      <w:rPr>
        <w:b/>
        <w:bCs/>
      </w:rPr>
    </w:tblStylePr>
    <w:tblStylePr w:type="lastCol">
      <w:rPr>
        <w:b/>
        <w:bCs/>
      </w:rPr>
    </w:tblStylePr>
  </w:style>
  <w:style w:type="table" w:styleId="GridTable1Light">
    <w:name w:val="Grid Table 1 Light"/>
    <w:basedOn w:val="TableNormal"/>
    <w:uiPriority w:val="46"/>
    <w:rsid w:val="004674F7"/>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612E27"/>
    <w:pPr>
      <w:spacing w:before="100" w:beforeAutospacing="1" w:after="100" w:afterAutospacing="1"/>
    </w:pPr>
    <w:rPr>
      <w:rFonts w:ascii="Times New Roman" w:eastAsia="Times New Roman" w:hAnsi="Times New Roman"/>
      <w:color w:val="auto"/>
      <w:sz w:val="24"/>
      <w:szCs w:val="24"/>
      <w:lang w:val="en-ZA" w:eastAsia="en-ZA"/>
    </w:rPr>
  </w:style>
  <w:style w:type="character" w:styleId="FollowedHyperlink">
    <w:name w:val="FollowedHyperlink"/>
    <w:basedOn w:val="DefaultParagraphFont"/>
    <w:uiPriority w:val="99"/>
    <w:semiHidden/>
    <w:unhideWhenUsed/>
    <w:rsid w:val="00381E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17266">
      <w:bodyDiv w:val="1"/>
      <w:marLeft w:val="0"/>
      <w:marRight w:val="0"/>
      <w:marTop w:val="0"/>
      <w:marBottom w:val="0"/>
      <w:divBdr>
        <w:top w:val="none" w:sz="0" w:space="0" w:color="auto"/>
        <w:left w:val="none" w:sz="0" w:space="0" w:color="auto"/>
        <w:bottom w:val="none" w:sz="0" w:space="0" w:color="auto"/>
        <w:right w:val="none" w:sz="0" w:space="0" w:color="auto"/>
      </w:divBdr>
    </w:div>
    <w:div w:id="34044205">
      <w:bodyDiv w:val="1"/>
      <w:marLeft w:val="0"/>
      <w:marRight w:val="0"/>
      <w:marTop w:val="0"/>
      <w:marBottom w:val="0"/>
      <w:divBdr>
        <w:top w:val="none" w:sz="0" w:space="0" w:color="auto"/>
        <w:left w:val="none" w:sz="0" w:space="0" w:color="auto"/>
        <w:bottom w:val="none" w:sz="0" w:space="0" w:color="auto"/>
        <w:right w:val="none" w:sz="0" w:space="0" w:color="auto"/>
      </w:divBdr>
    </w:div>
    <w:div w:id="81879203">
      <w:bodyDiv w:val="1"/>
      <w:marLeft w:val="0"/>
      <w:marRight w:val="0"/>
      <w:marTop w:val="0"/>
      <w:marBottom w:val="0"/>
      <w:divBdr>
        <w:top w:val="none" w:sz="0" w:space="0" w:color="auto"/>
        <w:left w:val="none" w:sz="0" w:space="0" w:color="auto"/>
        <w:bottom w:val="none" w:sz="0" w:space="0" w:color="auto"/>
        <w:right w:val="none" w:sz="0" w:space="0" w:color="auto"/>
      </w:divBdr>
    </w:div>
    <w:div w:id="201940636">
      <w:bodyDiv w:val="1"/>
      <w:marLeft w:val="0"/>
      <w:marRight w:val="0"/>
      <w:marTop w:val="0"/>
      <w:marBottom w:val="0"/>
      <w:divBdr>
        <w:top w:val="none" w:sz="0" w:space="0" w:color="auto"/>
        <w:left w:val="none" w:sz="0" w:space="0" w:color="auto"/>
        <w:bottom w:val="none" w:sz="0" w:space="0" w:color="auto"/>
        <w:right w:val="none" w:sz="0" w:space="0" w:color="auto"/>
      </w:divBdr>
    </w:div>
    <w:div w:id="204028616">
      <w:bodyDiv w:val="1"/>
      <w:marLeft w:val="0"/>
      <w:marRight w:val="0"/>
      <w:marTop w:val="0"/>
      <w:marBottom w:val="0"/>
      <w:divBdr>
        <w:top w:val="none" w:sz="0" w:space="0" w:color="auto"/>
        <w:left w:val="none" w:sz="0" w:space="0" w:color="auto"/>
        <w:bottom w:val="none" w:sz="0" w:space="0" w:color="auto"/>
        <w:right w:val="none" w:sz="0" w:space="0" w:color="auto"/>
      </w:divBdr>
    </w:div>
    <w:div w:id="328757162">
      <w:bodyDiv w:val="1"/>
      <w:marLeft w:val="0"/>
      <w:marRight w:val="0"/>
      <w:marTop w:val="0"/>
      <w:marBottom w:val="0"/>
      <w:divBdr>
        <w:top w:val="none" w:sz="0" w:space="0" w:color="auto"/>
        <w:left w:val="none" w:sz="0" w:space="0" w:color="auto"/>
        <w:bottom w:val="none" w:sz="0" w:space="0" w:color="auto"/>
        <w:right w:val="none" w:sz="0" w:space="0" w:color="auto"/>
      </w:divBdr>
    </w:div>
    <w:div w:id="491682028">
      <w:bodyDiv w:val="1"/>
      <w:marLeft w:val="0"/>
      <w:marRight w:val="0"/>
      <w:marTop w:val="0"/>
      <w:marBottom w:val="0"/>
      <w:divBdr>
        <w:top w:val="none" w:sz="0" w:space="0" w:color="auto"/>
        <w:left w:val="none" w:sz="0" w:space="0" w:color="auto"/>
        <w:bottom w:val="none" w:sz="0" w:space="0" w:color="auto"/>
        <w:right w:val="none" w:sz="0" w:space="0" w:color="auto"/>
      </w:divBdr>
    </w:div>
    <w:div w:id="594444013">
      <w:bodyDiv w:val="1"/>
      <w:marLeft w:val="0"/>
      <w:marRight w:val="0"/>
      <w:marTop w:val="0"/>
      <w:marBottom w:val="0"/>
      <w:divBdr>
        <w:top w:val="none" w:sz="0" w:space="0" w:color="auto"/>
        <w:left w:val="none" w:sz="0" w:space="0" w:color="auto"/>
        <w:bottom w:val="none" w:sz="0" w:space="0" w:color="auto"/>
        <w:right w:val="none" w:sz="0" w:space="0" w:color="auto"/>
      </w:divBdr>
    </w:div>
    <w:div w:id="622469802">
      <w:bodyDiv w:val="1"/>
      <w:marLeft w:val="0"/>
      <w:marRight w:val="0"/>
      <w:marTop w:val="0"/>
      <w:marBottom w:val="0"/>
      <w:divBdr>
        <w:top w:val="none" w:sz="0" w:space="0" w:color="auto"/>
        <w:left w:val="none" w:sz="0" w:space="0" w:color="auto"/>
        <w:bottom w:val="none" w:sz="0" w:space="0" w:color="auto"/>
        <w:right w:val="none" w:sz="0" w:space="0" w:color="auto"/>
      </w:divBdr>
    </w:div>
    <w:div w:id="628628327">
      <w:bodyDiv w:val="1"/>
      <w:marLeft w:val="0"/>
      <w:marRight w:val="0"/>
      <w:marTop w:val="0"/>
      <w:marBottom w:val="0"/>
      <w:divBdr>
        <w:top w:val="none" w:sz="0" w:space="0" w:color="auto"/>
        <w:left w:val="none" w:sz="0" w:space="0" w:color="auto"/>
        <w:bottom w:val="none" w:sz="0" w:space="0" w:color="auto"/>
        <w:right w:val="none" w:sz="0" w:space="0" w:color="auto"/>
      </w:divBdr>
    </w:div>
    <w:div w:id="681971609">
      <w:bodyDiv w:val="1"/>
      <w:marLeft w:val="0"/>
      <w:marRight w:val="0"/>
      <w:marTop w:val="0"/>
      <w:marBottom w:val="0"/>
      <w:divBdr>
        <w:top w:val="none" w:sz="0" w:space="0" w:color="auto"/>
        <w:left w:val="none" w:sz="0" w:space="0" w:color="auto"/>
        <w:bottom w:val="none" w:sz="0" w:space="0" w:color="auto"/>
        <w:right w:val="none" w:sz="0" w:space="0" w:color="auto"/>
      </w:divBdr>
    </w:div>
    <w:div w:id="700085986">
      <w:bodyDiv w:val="1"/>
      <w:marLeft w:val="0"/>
      <w:marRight w:val="0"/>
      <w:marTop w:val="0"/>
      <w:marBottom w:val="0"/>
      <w:divBdr>
        <w:top w:val="none" w:sz="0" w:space="0" w:color="auto"/>
        <w:left w:val="none" w:sz="0" w:space="0" w:color="auto"/>
        <w:bottom w:val="none" w:sz="0" w:space="0" w:color="auto"/>
        <w:right w:val="none" w:sz="0" w:space="0" w:color="auto"/>
      </w:divBdr>
    </w:div>
    <w:div w:id="766317497">
      <w:bodyDiv w:val="1"/>
      <w:marLeft w:val="0"/>
      <w:marRight w:val="0"/>
      <w:marTop w:val="0"/>
      <w:marBottom w:val="0"/>
      <w:divBdr>
        <w:top w:val="none" w:sz="0" w:space="0" w:color="auto"/>
        <w:left w:val="none" w:sz="0" w:space="0" w:color="auto"/>
        <w:bottom w:val="none" w:sz="0" w:space="0" w:color="auto"/>
        <w:right w:val="none" w:sz="0" w:space="0" w:color="auto"/>
      </w:divBdr>
      <w:divsChild>
        <w:div w:id="2144762409">
          <w:marLeft w:val="446"/>
          <w:marRight w:val="0"/>
          <w:marTop w:val="0"/>
          <w:marBottom w:val="0"/>
          <w:divBdr>
            <w:top w:val="none" w:sz="0" w:space="0" w:color="auto"/>
            <w:left w:val="none" w:sz="0" w:space="0" w:color="auto"/>
            <w:bottom w:val="none" w:sz="0" w:space="0" w:color="auto"/>
            <w:right w:val="none" w:sz="0" w:space="0" w:color="auto"/>
          </w:divBdr>
        </w:div>
        <w:div w:id="700398518">
          <w:marLeft w:val="446"/>
          <w:marRight w:val="0"/>
          <w:marTop w:val="0"/>
          <w:marBottom w:val="0"/>
          <w:divBdr>
            <w:top w:val="none" w:sz="0" w:space="0" w:color="auto"/>
            <w:left w:val="none" w:sz="0" w:space="0" w:color="auto"/>
            <w:bottom w:val="none" w:sz="0" w:space="0" w:color="auto"/>
            <w:right w:val="none" w:sz="0" w:space="0" w:color="auto"/>
          </w:divBdr>
        </w:div>
        <w:div w:id="1442799643">
          <w:marLeft w:val="446"/>
          <w:marRight w:val="0"/>
          <w:marTop w:val="0"/>
          <w:marBottom w:val="0"/>
          <w:divBdr>
            <w:top w:val="none" w:sz="0" w:space="0" w:color="auto"/>
            <w:left w:val="none" w:sz="0" w:space="0" w:color="auto"/>
            <w:bottom w:val="none" w:sz="0" w:space="0" w:color="auto"/>
            <w:right w:val="none" w:sz="0" w:space="0" w:color="auto"/>
          </w:divBdr>
        </w:div>
        <w:div w:id="134295068">
          <w:marLeft w:val="446"/>
          <w:marRight w:val="0"/>
          <w:marTop w:val="0"/>
          <w:marBottom w:val="0"/>
          <w:divBdr>
            <w:top w:val="none" w:sz="0" w:space="0" w:color="auto"/>
            <w:left w:val="none" w:sz="0" w:space="0" w:color="auto"/>
            <w:bottom w:val="none" w:sz="0" w:space="0" w:color="auto"/>
            <w:right w:val="none" w:sz="0" w:space="0" w:color="auto"/>
          </w:divBdr>
        </w:div>
        <w:div w:id="1673989428">
          <w:marLeft w:val="446"/>
          <w:marRight w:val="0"/>
          <w:marTop w:val="0"/>
          <w:marBottom w:val="0"/>
          <w:divBdr>
            <w:top w:val="none" w:sz="0" w:space="0" w:color="auto"/>
            <w:left w:val="none" w:sz="0" w:space="0" w:color="auto"/>
            <w:bottom w:val="none" w:sz="0" w:space="0" w:color="auto"/>
            <w:right w:val="none" w:sz="0" w:space="0" w:color="auto"/>
          </w:divBdr>
        </w:div>
        <w:div w:id="1205561177">
          <w:marLeft w:val="446"/>
          <w:marRight w:val="0"/>
          <w:marTop w:val="0"/>
          <w:marBottom w:val="0"/>
          <w:divBdr>
            <w:top w:val="none" w:sz="0" w:space="0" w:color="auto"/>
            <w:left w:val="none" w:sz="0" w:space="0" w:color="auto"/>
            <w:bottom w:val="none" w:sz="0" w:space="0" w:color="auto"/>
            <w:right w:val="none" w:sz="0" w:space="0" w:color="auto"/>
          </w:divBdr>
        </w:div>
        <w:div w:id="844439519">
          <w:marLeft w:val="446"/>
          <w:marRight w:val="0"/>
          <w:marTop w:val="0"/>
          <w:marBottom w:val="0"/>
          <w:divBdr>
            <w:top w:val="none" w:sz="0" w:space="0" w:color="auto"/>
            <w:left w:val="none" w:sz="0" w:space="0" w:color="auto"/>
            <w:bottom w:val="none" w:sz="0" w:space="0" w:color="auto"/>
            <w:right w:val="none" w:sz="0" w:space="0" w:color="auto"/>
          </w:divBdr>
        </w:div>
        <w:div w:id="578103557">
          <w:marLeft w:val="446"/>
          <w:marRight w:val="0"/>
          <w:marTop w:val="0"/>
          <w:marBottom w:val="0"/>
          <w:divBdr>
            <w:top w:val="none" w:sz="0" w:space="0" w:color="auto"/>
            <w:left w:val="none" w:sz="0" w:space="0" w:color="auto"/>
            <w:bottom w:val="none" w:sz="0" w:space="0" w:color="auto"/>
            <w:right w:val="none" w:sz="0" w:space="0" w:color="auto"/>
          </w:divBdr>
        </w:div>
        <w:div w:id="672490393">
          <w:marLeft w:val="446"/>
          <w:marRight w:val="0"/>
          <w:marTop w:val="0"/>
          <w:marBottom w:val="0"/>
          <w:divBdr>
            <w:top w:val="none" w:sz="0" w:space="0" w:color="auto"/>
            <w:left w:val="none" w:sz="0" w:space="0" w:color="auto"/>
            <w:bottom w:val="none" w:sz="0" w:space="0" w:color="auto"/>
            <w:right w:val="none" w:sz="0" w:space="0" w:color="auto"/>
          </w:divBdr>
        </w:div>
      </w:divsChild>
    </w:div>
    <w:div w:id="841549056">
      <w:bodyDiv w:val="1"/>
      <w:marLeft w:val="0"/>
      <w:marRight w:val="0"/>
      <w:marTop w:val="0"/>
      <w:marBottom w:val="0"/>
      <w:divBdr>
        <w:top w:val="none" w:sz="0" w:space="0" w:color="auto"/>
        <w:left w:val="none" w:sz="0" w:space="0" w:color="auto"/>
        <w:bottom w:val="none" w:sz="0" w:space="0" w:color="auto"/>
        <w:right w:val="none" w:sz="0" w:space="0" w:color="auto"/>
      </w:divBdr>
    </w:div>
    <w:div w:id="888998176">
      <w:bodyDiv w:val="1"/>
      <w:marLeft w:val="0"/>
      <w:marRight w:val="0"/>
      <w:marTop w:val="0"/>
      <w:marBottom w:val="0"/>
      <w:divBdr>
        <w:top w:val="none" w:sz="0" w:space="0" w:color="auto"/>
        <w:left w:val="none" w:sz="0" w:space="0" w:color="auto"/>
        <w:bottom w:val="none" w:sz="0" w:space="0" w:color="auto"/>
        <w:right w:val="none" w:sz="0" w:space="0" w:color="auto"/>
      </w:divBdr>
    </w:div>
    <w:div w:id="978069571">
      <w:bodyDiv w:val="1"/>
      <w:marLeft w:val="0"/>
      <w:marRight w:val="0"/>
      <w:marTop w:val="0"/>
      <w:marBottom w:val="0"/>
      <w:divBdr>
        <w:top w:val="none" w:sz="0" w:space="0" w:color="auto"/>
        <w:left w:val="none" w:sz="0" w:space="0" w:color="auto"/>
        <w:bottom w:val="none" w:sz="0" w:space="0" w:color="auto"/>
        <w:right w:val="none" w:sz="0" w:space="0" w:color="auto"/>
      </w:divBdr>
    </w:div>
    <w:div w:id="1002127007">
      <w:bodyDiv w:val="1"/>
      <w:marLeft w:val="0"/>
      <w:marRight w:val="0"/>
      <w:marTop w:val="0"/>
      <w:marBottom w:val="0"/>
      <w:divBdr>
        <w:top w:val="none" w:sz="0" w:space="0" w:color="auto"/>
        <w:left w:val="none" w:sz="0" w:space="0" w:color="auto"/>
        <w:bottom w:val="none" w:sz="0" w:space="0" w:color="auto"/>
        <w:right w:val="none" w:sz="0" w:space="0" w:color="auto"/>
      </w:divBdr>
      <w:divsChild>
        <w:div w:id="651787700">
          <w:marLeft w:val="360"/>
          <w:marRight w:val="0"/>
          <w:marTop w:val="200"/>
          <w:marBottom w:val="0"/>
          <w:divBdr>
            <w:top w:val="none" w:sz="0" w:space="0" w:color="auto"/>
            <w:left w:val="none" w:sz="0" w:space="0" w:color="auto"/>
            <w:bottom w:val="none" w:sz="0" w:space="0" w:color="auto"/>
            <w:right w:val="none" w:sz="0" w:space="0" w:color="auto"/>
          </w:divBdr>
        </w:div>
        <w:div w:id="778642925">
          <w:marLeft w:val="360"/>
          <w:marRight w:val="0"/>
          <w:marTop w:val="200"/>
          <w:marBottom w:val="0"/>
          <w:divBdr>
            <w:top w:val="none" w:sz="0" w:space="0" w:color="auto"/>
            <w:left w:val="none" w:sz="0" w:space="0" w:color="auto"/>
            <w:bottom w:val="none" w:sz="0" w:space="0" w:color="auto"/>
            <w:right w:val="none" w:sz="0" w:space="0" w:color="auto"/>
          </w:divBdr>
        </w:div>
        <w:div w:id="253630229">
          <w:marLeft w:val="360"/>
          <w:marRight w:val="0"/>
          <w:marTop w:val="200"/>
          <w:marBottom w:val="0"/>
          <w:divBdr>
            <w:top w:val="none" w:sz="0" w:space="0" w:color="auto"/>
            <w:left w:val="none" w:sz="0" w:space="0" w:color="auto"/>
            <w:bottom w:val="none" w:sz="0" w:space="0" w:color="auto"/>
            <w:right w:val="none" w:sz="0" w:space="0" w:color="auto"/>
          </w:divBdr>
        </w:div>
        <w:div w:id="2131125572">
          <w:marLeft w:val="1080"/>
          <w:marRight w:val="0"/>
          <w:marTop w:val="100"/>
          <w:marBottom w:val="0"/>
          <w:divBdr>
            <w:top w:val="none" w:sz="0" w:space="0" w:color="auto"/>
            <w:left w:val="none" w:sz="0" w:space="0" w:color="auto"/>
            <w:bottom w:val="none" w:sz="0" w:space="0" w:color="auto"/>
            <w:right w:val="none" w:sz="0" w:space="0" w:color="auto"/>
          </w:divBdr>
        </w:div>
        <w:div w:id="485165630">
          <w:marLeft w:val="1080"/>
          <w:marRight w:val="0"/>
          <w:marTop w:val="100"/>
          <w:marBottom w:val="0"/>
          <w:divBdr>
            <w:top w:val="none" w:sz="0" w:space="0" w:color="auto"/>
            <w:left w:val="none" w:sz="0" w:space="0" w:color="auto"/>
            <w:bottom w:val="none" w:sz="0" w:space="0" w:color="auto"/>
            <w:right w:val="none" w:sz="0" w:space="0" w:color="auto"/>
          </w:divBdr>
        </w:div>
        <w:div w:id="1835606786">
          <w:marLeft w:val="1080"/>
          <w:marRight w:val="0"/>
          <w:marTop w:val="100"/>
          <w:marBottom w:val="0"/>
          <w:divBdr>
            <w:top w:val="none" w:sz="0" w:space="0" w:color="auto"/>
            <w:left w:val="none" w:sz="0" w:space="0" w:color="auto"/>
            <w:bottom w:val="none" w:sz="0" w:space="0" w:color="auto"/>
            <w:right w:val="none" w:sz="0" w:space="0" w:color="auto"/>
          </w:divBdr>
        </w:div>
        <w:div w:id="454519600">
          <w:marLeft w:val="1080"/>
          <w:marRight w:val="0"/>
          <w:marTop w:val="100"/>
          <w:marBottom w:val="0"/>
          <w:divBdr>
            <w:top w:val="none" w:sz="0" w:space="0" w:color="auto"/>
            <w:left w:val="none" w:sz="0" w:space="0" w:color="auto"/>
            <w:bottom w:val="none" w:sz="0" w:space="0" w:color="auto"/>
            <w:right w:val="none" w:sz="0" w:space="0" w:color="auto"/>
          </w:divBdr>
        </w:div>
      </w:divsChild>
    </w:div>
    <w:div w:id="1021787022">
      <w:bodyDiv w:val="1"/>
      <w:marLeft w:val="0"/>
      <w:marRight w:val="0"/>
      <w:marTop w:val="0"/>
      <w:marBottom w:val="0"/>
      <w:divBdr>
        <w:top w:val="none" w:sz="0" w:space="0" w:color="auto"/>
        <w:left w:val="none" w:sz="0" w:space="0" w:color="auto"/>
        <w:bottom w:val="none" w:sz="0" w:space="0" w:color="auto"/>
        <w:right w:val="none" w:sz="0" w:space="0" w:color="auto"/>
      </w:divBdr>
    </w:div>
    <w:div w:id="1188713427">
      <w:bodyDiv w:val="1"/>
      <w:marLeft w:val="0"/>
      <w:marRight w:val="0"/>
      <w:marTop w:val="0"/>
      <w:marBottom w:val="0"/>
      <w:divBdr>
        <w:top w:val="none" w:sz="0" w:space="0" w:color="auto"/>
        <w:left w:val="none" w:sz="0" w:space="0" w:color="auto"/>
        <w:bottom w:val="none" w:sz="0" w:space="0" w:color="auto"/>
        <w:right w:val="none" w:sz="0" w:space="0" w:color="auto"/>
      </w:divBdr>
      <w:divsChild>
        <w:div w:id="1006637032">
          <w:marLeft w:val="446"/>
          <w:marRight w:val="0"/>
          <w:marTop w:val="0"/>
          <w:marBottom w:val="0"/>
          <w:divBdr>
            <w:top w:val="none" w:sz="0" w:space="0" w:color="auto"/>
            <w:left w:val="none" w:sz="0" w:space="0" w:color="auto"/>
            <w:bottom w:val="none" w:sz="0" w:space="0" w:color="auto"/>
            <w:right w:val="none" w:sz="0" w:space="0" w:color="auto"/>
          </w:divBdr>
        </w:div>
        <w:div w:id="2001617710">
          <w:marLeft w:val="446"/>
          <w:marRight w:val="0"/>
          <w:marTop w:val="0"/>
          <w:marBottom w:val="0"/>
          <w:divBdr>
            <w:top w:val="none" w:sz="0" w:space="0" w:color="auto"/>
            <w:left w:val="none" w:sz="0" w:space="0" w:color="auto"/>
            <w:bottom w:val="none" w:sz="0" w:space="0" w:color="auto"/>
            <w:right w:val="none" w:sz="0" w:space="0" w:color="auto"/>
          </w:divBdr>
        </w:div>
        <w:div w:id="2043358179">
          <w:marLeft w:val="446"/>
          <w:marRight w:val="0"/>
          <w:marTop w:val="0"/>
          <w:marBottom w:val="0"/>
          <w:divBdr>
            <w:top w:val="none" w:sz="0" w:space="0" w:color="auto"/>
            <w:left w:val="none" w:sz="0" w:space="0" w:color="auto"/>
            <w:bottom w:val="none" w:sz="0" w:space="0" w:color="auto"/>
            <w:right w:val="none" w:sz="0" w:space="0" w:color="auto"/>
          </w:divBdr>
        </w:div>
        <w:div w:id="739639823">
          <w:marLeft w:val="446"/>
          <w:marRight w:val="0"/>
          <w:marTop w:val="0"/>
          <w:marBottom w:val="0"/>
          <w:divBdr>
            <w:top w:val="none" w:sz="0" w:space="0" w:color="auto"/>
            <w:left w:val="none" w:sz="0" w:space="0" w:color="auto"/>
            <w:bottom w:val="none" w:sz="0" w:space="0" w:color="auto"/>
            <w:right w:val="none" w:sz="0" w:space="0" w:color="auto"/>
          </w:divBdr>
        </w:div>
        <w:div w:id="926571223">
          <w:marLeft w:val="446"/>
          <w:marRight w:val="0"/>
          <w:marTop w:val="0"/>
          <w:marBottom w:val="0"/>
          <w:divBdr>
            <w:top w:val="none" w:sz="0" w:space="0" w:color="auto"/>
            <w:left w:val="none" w:sz="0" w:space="0" w:color="auto"/>
            <w:bottom w:val="none" w:sz="0" w:space="0" w:color="auto"/>
            <w:right w:val="none" w:sz="0" w:space="0" w:color="auto"/>
          </w:divBdr>
        </w:div>
        <w:div w:id="1740591456">
          <w:marLeft w:val="446"/>
          <w:marRight w:val="0"/>
          <w:marTop w:val="0"/>
          <w:marBottom w:val="0"/>
          <w:divBdr>
            <w:top w:val="none" w:sz="0" w:space="0" w:color="auto"/>
            <w:left w:val="none" w:sz="0" w:space="0" w:color="auto"/>
            <w:bottom w:val="none" w:sz="0" w:space="0" w:color="auto"/>
            <w:right w:val="none" w:sz="0" w:space="0" w:color="auto"/>
          </w:divBdr>
        </w:div>
        <w:div w:id="370301695">
          <w:marLeft w:val="446"/>
          <w:marRight w:val="0"/>
          <w:marTop w:val="0"/>
          <w:marBottom w:val="0"/>
          <w:divBdr>
            <w:top w:val="none" w:sz="0" w:space="0" w:color="auto"/>
            <w:left w:val="none" w:sz="0" w:space="0" w:color="auto"/>
            <w:bottom w:val="none" w:sz="0" w:space="0" w:color="auto"/>
            <w:right w:val="none" w:sz="0" w:space="0" w:color="auto"/>
          </w:divBdr>
        </w:div>
      </w:divsChild>
    </w:div>
    <w:div w:id="1204752581">
      <w:bodyDiv w:val="1"/>
      <w:marLeft w:val="0"/>
      <w:marRight w:val="0"/>
      <w:marTop w:val="0"/>
      <w:marBottom w:val="0"/>
      <w:divBdr>
        <w:top w:val="none" w:sz="0" w:space="0" w:color="auto"/>
        <w:left w:val="none" w:sz="0" w:space="0" w:color="auto"/>
        <w:bottom w:val="none" w:sz="0" w:space="0" w:color="auto"/>
        <w:right w:val="none" w:sz="0" w:space="0" w:color="auto"/>
      </w:divBdr>
    </w:div>
    <w:div w:id="1318146143">
      <w:bodyDiv w:val="1"/>
      <w:marLeft w:val="0"/>
      <w:marRight w:val="0"/>
      <w:marTop w:val="0"/>
      <w:marBottom w:val="0"/>
      <w:divBdr>
        <w:top w:val="none" w:sz="0" w:space="0" w:color="auto"/>
        <w:left w:val="none" w:sz="0" w:space="0" w:color="auto"/>
        <w:bottom w:val="none" w:sz="0" w:space="0" w:color="auto"/>
        <w:right w:val="none" w:sz="0" w:space="0" w:color="auto"/>
      </w:divBdr>
    </w:div>
    <w:div w:id="1328051347">
      <w:bodyDiv w:val="1"/>
      <w:marLeft w:val="0"/>
      <w:marRight w:val="0"/>
      <w:marTop w:val="0"/>
      <w:marBottom w:val="0"/>
      <w:divBdr>
        <w:top w:val="none" w:sz="0" w:space="0" w:color="auto"/>
        <w:left w:val="none" w:sz="0" w:space="0" w:color="auto"/>
        <w:bottom w:val="none" w:sz="0" w:space="0" w:color="auto"/>
        <w:right w:val="none" w:sz="0" w:space="0" w:color="auto"/>
      </w:divBdr>
    </w:div>
    <w:div w:id="1362510429">
      <w:bodyDiv w:val="1"/>
      <w:marLeft w:val="0"/>
      <w:marRight w:val="0"/>
      <w:marTop w:val="0"/>
      <w:marBottom w:val="0"/>
      <w:divBdr>
        <w:top w:val="none" w:sz="0" w:space="0" w:color="auto"/>
        <w:left w:val="none" w:sz="0" w:space="0" w:color="auto"/>
        <w:bottom w:val="none" w:sz="0" w:space="0" w:color="auto"/>
        <w:right w:val="none" w:sz="0" w:space="0" w:color="auto"/>
      </w:divBdr>
    </w:div>
    <w:div w:id="1403720998">
      <w:bodyDiv w:val="1"/>
      <w:marLeft w:val="0"/>
      <w:marRight w:val="0"/>
      <w:marTop w:val="0"/>
      <w:marBottom w:val="0"/>
      <w:divBdr>
        <w:top w:val="none" w:sz="0" w:space="0" w:color="auto"/>
        <w:left w:val="none" w:sz="0" w:space="0" w:color="auto"/>
        <w:bottom w:val="none" w:sz="0" w:space="0" w:color="auto"/>
        <w:right w:val="none" w:sz="0" w:space="0" w:color="auto"/>
      </w:divBdr>
    </w:div>
    <w:div w:id="1579250808">
      <w:bodyDiv w:val="1"/>
      <w:marLeft w:val="0"/>
      <w:marRight w:val="0"/>
      <w:marTop w:val="0"/>
      <w:marBottom w:val="0"/>
      <w:divBdr>
        <w:top w:val="none" w:sz="0" w:space="0" w:color="auto"/>
        <w:left w:val="none" w:sz="0" w:space="0" w:color="auto"/>
        <w:bottom w:val="none" w:sz="0" w:space="0" w:color="auto"/>
        <w:right w:val="none" w:sz="0" w:space="0" w:color="auto"/>
      </w:divBdr>
    </w:div>
    <w:div w:id="1608659344">
      <w:bodyDiv w:val="1"/>
      <w:marLeft w:val="0"/>
      <w:marRight w:val="0"/>
      <w:marTop w:val="0"/>
      <w:marBottom w:val="0"/>
      <w:divBdr>
        <w:top w:val="none" w:sz="0" w:space="0" w:color="auto"/>
        <w:left w:val="none" w:sz="0" w:space="0" w:color="auto"/>
        <w:bottom w:val="none" w:sz="0" w:space="0" w:color="auto"/>
        <w:right w:val="none" w:sz="0" w:space="0" w:color="auto"/>
      </w:divBdr>
      <w:divsChild>
        <w:div w:id="1345204166">
          <w:marLeft w:val="446"/>
          <w:marRight w:val="0"/>
          <w:marTop w:val="0"/>
          <w:marBottom w:val="0"/>
          <w:divBdr>
            <w:top w:val="none" w:sz="0" w:space="0" w:color="auto"/>
            <w:left w:val="none" w:sz="0" w:space="0" w:color="auto"/>
            <w:bottom w:val="none" w:sz="0" w:space="0" w:color="auto"/>
            <w:right w:val="none" w:sz="0" w:space="0" w:color="auto"/>
          </w:divBdr>
        </w:div>
        <w:div w:id="1921475259">
          <w:marLeft w:val="446"/>
          <w:marRight w:val="0"/>
          <w:marTop w:val="0"/>
          <w:marBottom w:val="0"/>
          <w:divBdr>
            <w:top w:val="none" w:sz="0" w:space="0" w:color="auto"/>
            <w:left w:val="none" w:sz="0" w:space="0" w:color="auto"/>
            <w:bottom w:val="none" w:sz="0" w:space="0" w:color="auto"/>
            <w:right w:val="none" w:sz="0" w:space="0" w:color="auto"/>
          </w:divBdr>
        </w:div>
        <w:div w:id="1951088693">
          <w:marLeft w:val="446"/>
          <w:marRight w:val="0"/>
          <w:marTop w:val="0"/>
          <w:marBottom w:val="0"/>
          <w:divBdr>
            <w:top w:val="none" w:sz="0" w:space="0" w:color="auto"/>
            <w:left w:val="none" w:sz="0" w:space="0" w:color="auto"/>
            <w:bottom w:val="none" w:sz="0" w:space="0" w:color="auto"/>
            <w:right w:val="none" w:sz="0" w:space="0" w:color="auto"/>
          </w:divBdr>
        </w:div>
        <w:div w:id="1989817721">
          <w:marLeft w:val="446"/>
          <w:marRight w:val="0"/>
          <w:marTop w:val="0"/>
          <w:marBottom w:val="0"/>
          <w:divBdr>
            <w:top w:val="none" w:sz="0" w:space="0" w:color="auto"/>
            <w:left w:val="none" w:sz="0" w:space="0" w:color="auto"/>
            <w:bottom w:val="none" w:sz="0" w:space="0" w:color="auto"/>
            <w:right w:val="none" w:sz="0" w:space="0" w:color="auto"/>
          </w:divBdr>
        </w:div>
        <w:div w:id="1414086179">
          <w:marLeft w:val="446"/>
          <w:marRight w:val="0"/>
          <w:marTop w:val="0"/>
          <w:marBottom w:val="0"/>
          <w:divBdr>
            <w:top w:val="none" w:sz="0" w:space="0" w:color="auto"/>
            <w:left w:val="none" w:sz="0" w:space="0" w:color="auto"/>
            <w:bottom w:val="none" w:sz="0" w:space="0" w:color="auto"/>
            <w:right w:val="none" w:sz="0" w:space="0" w:color="auto"/>
          </w:divBdr>
        </w:div>
      </w:divsChild>
    </w:div>
    <w:div w:id="1646397687">
      <w:bodyDiv w:val="1"/>
      <w:marLeft w:val="0"/>
      <w:marRight w:val="0"/>
      <w:marTop w:val="0"/>
      <w:marBottom w:val="0"/>
      <w:divBdr>
        <w:top w:val="none" w:sz="0" w:space="0" w:color="auto"/>
        <w:left w:val="none" w:sz="0" w:space="0" w:color="auto"/>
        <w:bottom w:val="none" w:sz="0" w:space="0" w:color="auto"/>
        <w:right w:val="none" w:sz="0" w:space="0" w:color="auto"/>
      </w:divBdr>
    </w:div>
    <w:div w:id="1751805960">
      <w:bodyDiv w:val="1"/>
      <w:marLeft w:val="0"/>
      <w:marRight w:val="0"/>
      <w:marTop w:val="0"/>
      <w:marBottom w:val="0"/>
      <w:divBdr>
        <w:top w:val="none" w:sz="0" w:space="0" w:color="auto"/>
        <w:left w:val="none" w:sz="0" w:space="0" w:color="auto"/>
        <w:bottom w:val="none" w:sz="0" w:space="0" w:color="auto"/>
        <w:right w:val="none" w:sz="0" w:space="0" w:color="auto"/>
      </w:divBdr>
    </w:div>
    <w:div w:id="1786655568">
      <w:bodyDiv w:val="1"/>
      <w:marLeft w:val="0"/>
      <w:marRight w:val="0"/>
      <w:marTop w:val="0"/>
      <w:marBottom w:val="0"/>
      <w:divBdr>
        <w:top w:val="none" w:sz="0" w:space="0" w:color="auto"/>
        <w:left w:val="none" w:sz="0" w:space="0" w:color="auto"/>
        <w:bottom w:val="none" w:sz="0" w:space="0" w:color="auto"/>
        <w:right w:val="none" w:sz="0" w:space="0" w:color="auto"/>
      </w:divBdr>
    </w:div>
    <w:div w:id="1925794876">
      <w:bodyDiv w:val="1"/>
      <w:marLeft w:val="0"/>
      <w:marRight w:val="0"/>
      <w:marTop w:val="0"/>
      <w:marBottom w:val="0"/>
      <w:divBdr>
        <w:top w:val="none" w:sz="0" w:space="0" w:color="auto"/>
        <w:left w:val="none" w:sz="0" w:space="0" w:color="auto"/>
        <w:bottom w:val="none" w:sz="0" w:space="0" w:color="auto"/>
        <w:right w:val="none" w:sz="0" w:space="0" w:color="auto"/>
      </w:divBdr>
    </w:div>
    <w:div w:id="1957835430">
      <w:bodyDiv w:val="1"/>
      <w:marLeft w:val="0"/>
      <w:marRight w:val="0"/>
      <w:marTop w:val="0"/>
      <w:marBottom w:val="0"/>
      <w:divBdr>
        <w:top w:val="none" w:sz="0" w:space="0" w:color="auto"/>
        <w:left w:val="none" w:sz="0" w:space="0" w:color="auto"/>
        <w:bottom w:val="none" w:sz="0" w:space="0" w:color="auto"/>
        <w:right w:val="none" w:sz="0" w:space="0" w:color="auto"/>
      </w:divBdr>
    </w:div>
    <w:div w:id="1982222531">
      <w:bodyDiv w:val="1"/>
      <w:marLeft w:val="0"/>
      <w:marRight w:val="0"/>
      <w:marTop w:val="0"/>
      <w:marBottom w:val="0"/>
      <w:divBdr>
        <w:top w:val="none" w:sz="0" w:space="0" w:color="auto"/>
        <w:left w:val="none" w:sz="0" w:space="0" w:color="auto"/>
        <w:bottom w:val="none" w:sz="0" w:space="0" w:color="auto"/>
        <w:right w:val="none" w:sz="0" w:space="0" w:color="auto"/>
      </w:divBdr>
    </w:div>
    <w:div w:id="1984040549">
      <w:bodyDiv w:val="1"/>
      <w:marLeft w:val="0"/>
      <w:marRight w:val="0"/>
      <w:marTop w:val="0"/>
      <w:marBottom w:val="0"/>
      <w:divBdr>
        <w:top w:val="none" w:sz="0" w:space="0" w:color="auto"/>
        <w:left w:val="none" w:sz="0" w:space="0" w:color="auto"/>
        <w:bottom w:val="none" w:sz="0" w:space="0" w:color="auto"/>
        <w:right w:val="none" w:sz="0" w:space="0" w:color="auto"/>
      </w:divBdr>
    </w:div>
    <w:div w:id="20450152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ifrs.org/content/dam/ifrs/project/third-agenda-consultation/rfi-third-agenda-consultation-2021.pdf"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Durant\OneDrive%20-%20Financial%20Reporting%20Council\Documents\Custom%20Office%20Templates\UKEB%20Template.dotx" TargetMode="External"/></Relationships>
</file>

<file path=word/theme/theme1.xml><?xml version="1.0" encoding="utf-8"?>
<a:theme xmlns:a="http://schemas.openxmlformats.org/drawingml/2006/main" name="Office Theme">
  <a:themeElements>
    <a:clrScheme name="UKEB">
      <a:dk1>
        <a:sysClr val="windowText" lastClr="000000"/>
      </a:dk1>
      <a:lt1>
        <a:sysClr val="window" lastClr="FFFFFF"/>
      </a:lt1>
      <a:dk2>
        <a:srgbClr val="1F497D"/>
      </a:dk2>
      <a:lt2>
        <a:srgbClr val="EEECE1"/>
      </a:lt2>
      <a:accent1>
        <a:srgbClr val="003B42"/>
      </a:accent1>
      <a:accent2>
        <a:srgbClr val="54CFBF"/>
      </a:accent2>
      <a:accent3>
        <a:srgbClr val="F5F5F2"/>
      </a:accent3>
      <a:accent4>
        <a:srgbClr val="003B42"/>
      </a:accent4>
      <a:accent5>
        <a:srgbClr val="54CFBF"/>
      </a:accent5>
      <a:accent6>
        <a:srgbClr val="F5F5F2"/>
      </a:accent6>
      <a:hlink>
        <a:srgbClr val="0000FF"/>
      </a:hlink>
      <a:folHlink>
        <a:srgbClr val="800080"/>
      </a:folHlink>
    </a:clrScheme>
    <a:fontScheme name="UKEB Fonts">
      <a:majorFont>
        <a:latin typeface="Addington CF"/>
        <a:ea typeface=""/>
        <a:cs typeface=""/>
      </a:majorFont>
      <a:minorFont>
        <a:latin typeface="Roboto UKEB"/>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8cf9d87e-047a-47d2-9671-f85bce5eee42">
      <UserInfo>
        <DisplayName>Alison Stiles</DisplayName>
        <AccountId>16</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45CF75F5B42F942B426A366849393C6" ma:contentTypeVersion="6" ma:contentTypeDescription="Create a new document." ma:contentTypeScope="" ma:versionID="99bbabb50189ba6b75d002d8bd08e049">
  <xsd:schema xmlns:xsd="http://www.w3.org/2001/XMLSchema" xmlns:xs="http://www.w3.org/2001/XMLSchema" xmlns:p="http://schemas.microsoft.com/office/2006/metadata/properties" xmlns:ns2="4bea15db-7151-4b05-9c4f-ae55828bb7dd" xmlns:ns3="8cf9d87e-047a-47d2-9671-f85bce5eee42" targetNamespace="http://schemas.microsoft.com/office/2006/metadata/properties" ma:root="true" ma:fieldsID="46dde995e807b6aa591496fc14c301fb" ns2:_="" ns3:_="">
    <xsd:import namespace="4bea15db-7151-4b05-9c4f-ae55828bb7dd"/>
    <xsd:import namespace="8cf9d87e-047a-47d2-9671-f85bce5eee4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ea15db-7151-4b05-9c4f-ae55828bb7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f9d87e-047a-47d2-9671-f85bce5eee4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54981F-7B89-4622-AFEE-7A0DC26273C0}">
  <ds:schemaRefs>
    <ds:schemaRef ds:uri="http://schemas.microsoft.com/sharepoint/v3/contenttype/forms"/>
  </ds:schemaRefs>
</ds:datastoreItem>
</file>

<file path=customXml/itemProps2.xml><?xml version="1.0" encoding="utf-8"?>
<ds:datastoreItem xmlns:ds="http://schemas.openxmlformats.org/officeDocument/2006/customXml" ds:itemID="{ADB9B224-C30E-47E9-9979-B89CDD9B149E}">
  <ds:schemaRefs>
    <ds:schemaRef ds:uri="http://schemas.microsoft.com/office/2006/metadata/properties"/>
    <ds:schemaRef ds:uri="http://schemas.microsoft.com/office/infopath/2007/PartnerControls"/>
    <ds:schemaRef ds:uri="8cf9d87e-047a-47d2-9671-f85bce5eee42"/>
  </ds:schemaRefs>
</ds:datastoreItem>
</file>

<file path=customXml/itemProps3.xml><?xml version="1.0" encoding="utf-8"?>
<ds:datastoreItem xmlns:ds="http://schemas.openxmlformats.org/officeDocument/2006/customXml" ds:itemID="{A272D1F0-65FE-4081-A081-DED90706F2E9}">
  <ds:schemaRefs>
    <ds:schemaRef ds:uri="http://schemas.openxmlformats.org/officeDocument/2006/bibliography"/>
  </ds:schemaRefs>
</ds:datastoreItem>
</file>

<file path=customXml/itemProps4.xml><?xml version="1.0" encoding="utf-8"?>
<ds:datastoreItem xmlns:ds="http://schemas.openxmlformats.org/officeDocument/2006/customXml" ds:itemID="{D21EB7EA-0DFD-4C5C-A63F-3B34CC881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ea15db-7151-4b05-9c4f-ae55828bb7dd"/>
    <ds:schemaRef ds:uri="8cf9d87e-047a-47d2-9671-f85bce5eee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UKEB Template</Template>
  <TotalTime>3</TotalTime>
  <Pages>7</Pages>
  <Words>1975</Words>
  <Characters>11261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Durant</dc:creator>
  <cp:keywords/>
  <dc:description/>
  <cp:lastModifiedBy>Jack Marshall</cp:lastModifiedBy>
  <cp:revision>2</cp:revision>
  <cp:lastPrinted>2021-06-08T19:11:00Z</cp:lastPrinted>
  <dcterms:created xsi:type="dcterms:W3CDTF">2021-06-14T09:43:00Z</dcterms:created>
  <dcterms:modified xsi:type="dcterms:W3CDTF">2021-06-14T09:43:00Z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0x010100745CF75F5B42F942B426A366849393C6</vt:lpwstr>
  </property>
</Properties>
</file>